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1B" w:rsidRPr="002F10A0" w:rsidRDefault="00EC3B92" w:rsidP="00061B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</w:rPr>
      </w:pPr>
      <w:bookmarkStart w:id="0" w:name="_30j0zll"/>
      <w:bookmarkStart w:id="1" w:name="_1fob9te"/>
      <w:bookmarkEnd w:id="0"/>
      <w:bookmarkEnd w:id="1"/>
      <w:r w:rsidRPr="002F10A0">
        <w:rPr>
          <w:rFonts w:asciiTheme="majorHAnsi" w:hAnsiTheme="majorHAnsi" w:cstheme="majorHAnsi"/>
          <w:b/>
          <w:color w:val="000000"/>
        </w:rPr>
        <w:t xml:space="preserve">INFORME DE PONENCIA </w:t>
      </w:r>
      <w:r w:rsidR="00061B79" w:rsidRPr="002F10A0">
        <w:rPr>
          <w:rFonts w:asciiTheme="majorHAnsi" w:hAnsiTheme="majorHAnsi" w:cstheme="majorHAnsi"/>
          <w:b/>
          <w:color w:val="000000"/>
        </w:rPr>
        <w:t xml:space="preserve">PARA </w:t>
      </w:r>
      <w:r w:rsidR="002F10A0" w:rsidRPr="002F10A0">
        <w:rPr>
          <w:rFonts w:asciiTheme="majorHAnsi" w:hAnsiTheme="majorHAnsi" w:cstheme="majorHAnsi"/>
          <w:b/>
          <w:color w:val="000000"/>
        </w:rPr>
        <w:t>PRIMER</w:t>
      </w:r>
      <w:r w:rsidR="00061B79" w:rsidRPr="002F10A0">
        <w:rPr>
          <w:rFonts w:asciiTheme="majorHAnsi" w:hAnsiTheme="majorHAnsi" w:cstheme="majorHAnsi"/>
          <w:b/>
          <w:color w:val="000000"/>
        </w:rPr>
        <w:t xml:space="preserve"> DEBATE CÁMARA </w:t>
      </w:r>
      <w:r w:rsidRPr="002F10A0">
        <w:rPr>
          <w:rFonts w:asciiTheme="majorHAnsi" w:hAnsiTheme="majorHAnsi" w:cstheme="majorHAnsi"/>
          <w:b/>
          <w:color w:val="000000"/>
        </w:rPr>
        <w:t xml:space="preserve">AL PROYECTO DE </w:t>
      </w:r>
      <w:r w:rsidR="002F10A0" w:rsidRPr="002F10A0">
        <w:rPr>
          <w:rFonts w:asciiTheme="majorHAnsi" w:hAnsiTheme="majorHAnsi" w:cstheme="majorHAnsi"/>
          <w:b/>
          <w:color w:val="000000"/>
        </w:rPr>
        <w:t>ACTO LEGISLATIVO</w:t>
      </w:r>
      <w:r w:rsidRPr="002F10A0">
        <w:rPr>
          <w:rFonts w:asciiTheme="majorHAnsi" w:hAnsiTheme="majorHAnsi" w:cstheme="majorHAnsi"/>
          <w:b/>
          <w:color w:val="000000"/>
        </w:rPr>
        <w:t xml:space="preserve"> NO. </w:t>
      </w:r>
      <w:r w:rsidR="002F10A0" w:rsidRPr="002F10A0">
        <w:rPr>
          <w:rFonts w:asciiTheme="majorHAnsi" w:hAnsiTheme="majorHAnsi" w:cstheme="majorHAnsi"/>
          <w:b/>
          <w:color w:val="000000"/>
        </w:rPr>
        <w:t>377</w:t>
      </w:r>
      <w:r w:rsidRPr="002F10A0">
        <w:rPr>
          <w:rFonts w:asciiTheme="majorHAnsi" w:hAnsiTheme="majorHAnsi" w:cstheme="majorHAnsi"/>
          <w:b/>
          <w:color w:val="000000"/>
        </w:rPr>
        <w:t xml:space="preserve"> DE  </w:t>
      </w:r>
      <w:r w:rsidR="002F10A0" w:rsidRPr="002F10A0">
        <w:rPr>
          <w:rFonts w:asciiTheme="majorHAnsi" w:hAnsiTheme="majorHAnsi" w:cstheme="majorHAnsi"/>
          <w:b/>
          <w:color w:val="000000"/>
        </w:rPr>
        <w:t>2019</w:t>
      </w:r>
      <w:r w:rsidR="005D541E">
        <w:rPr>
          <w:rFonts w:asciiTheme="majorHAnsi" w:hAnsiTheme="majorHAnsi" w:cstheme="majorHAnsi"/>
          <w:b/>
          <w:color w:val="000000"/>
        </w:rPr>
        <w:t xml:space="preserve"> CÁMARA</w:t>
      </w:r>
    </w:p>
    <w:p w:rsidR="0080491B" w:rsidRPr="002F10A0" w:rsidRDefault="00804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</w:rPr>
      </w:pPr>
    </w:p>
    <w:p w:rsidR="002F10A0" w:rsidRPr="002F10A0" w:rsidRDefault="002F10A0" w:rsidP="002F1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2F10A0">
        <w:rPr>
          <w:rFonts w:asciiTheme="majorHAnsi" w:hAnsiTheme="majorHAnsi" w:cstheme="majorHAnsi"/>
          <w:b/>
          <w:color w:val="000000"/>
        </w:rPr>
        <w:t>“Por el cual se modifican y adicionan los artículos 173, 178 y 189 de la Constitución Política de Colombia”.</w:t>
      </w:r>
    </w:p>
    <w:p w:rsidR="0080491B" w:rsidRPr="002F10A0" w:rsidRDefault="00804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</w:p>
    <w:p w:rsidR="0080491B" w:rsidRPr="002F10A0" w:rsidRDefault="00804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</w:rPr>
      </w:pPr>
    </w:p>
    <w:p w:rsidR="0080491B" w:rsidRPr="002F10A0" w:rsidRDefault="00EC3B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hAnsiTheme="majorHAnsi" w:cstheme="majorHAnsi"/>
          <w:color w:val="000000"/>
        </w:rPr>
      </w:pPr>
      <w:r w:rsidRPr="002F10A0">
        <w:rPr>
          <w:rFonts w:asciiTheme="majorHAnsi" w:hAnsiTheme="majorHAnsi" w:cstheme="majorHAnsi"/>
          <w:color w:val="000000"/>
        </w:rPr>
        <w:t xml:space="preserve">Bogotá, D. C., </w:t>
      </w:r>
      <w:r w:rsidR="002F10A0" w:rsidRPr="002F10A0">
        <w:rPr>
          <w:rFonts w:asciiTheme="majorHAnsi" w:hAnsiTheme="majorHAnsi" w:cstheme="majorHAnsi"/>
        </w:rPr>
        <w:t>24</w:t>
      </w:r>
      <w:r w:rsidRPr="002F10A0">
        <w:rPr>
          <w:rFonts w:asciiTheme="majorHAnsi" w:hAnsiTheme="majorHAnsi" w:cstheme="majorHAnsi"/>
          <w:color w:val="000000"/>
        </w:rPr>
        <w:t xml:space="preserve"> de </w:t>
      </w:r>
      <w:r w:rsidRPr="002F10A0">
        <w:rPr>
          <w:rFonts w:asciiTheme="majorHAnsi" w:hAnsiTheme="majorHAnsi" w:cstheme="majorHAnsi"/>
        </w:rPr>
        <w:t>abril</w:t>
      </w:r>
      <w:r w:rsidRPr="002F10A0">
        <w:rPr>
          <w:rFonts w:asciiTheme="majorHAnsi" w:hAnsiTheme="majorHAnsi" w:cstheme="majorHAnsi"/>
          <w:color w:val="000000"/>
        </w:rPr>
        <w:t xml:space="preserve"> de 2019</w:t>
      </w:r>
    </w:p>
    <w:p w:rsidR="0080491B" w:rsidRPr="002F10A0" w:rsidRDefault="00804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</w:rPr>
      </w:pPr>
    </w:p>
    <w:p w:rsidR="0080491B" w:rsidRPr="002F10A0" w:rsidRDefault="00804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</w:rPr>
      </w:pPr>
    </w:p>
    <w:p w:rsidR="0080491B" w:rsidRPr="002F10A0" w:rsidRDefault="00EC3B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</w:rPr>
      </w:pPr>
      <w:r w:rsidRPr="002F10A0">
        <w:rPr>
          <w:rFonts w:asciiTheme="majorHAnsi" w:hAnsiTheme="majorHAnsi" w:cstheme="majorHAnsi"/>
          <w:b/>
          <w:color w:val="000000"/>
        </w:rPr>
        <w:t>GABRIEL SANTOS GARCÍA</w:t>
      </w:r>
    </w:p>
    <w:p w:rsidR="0080491B" w:rsidRPr="002F10A0" w:rsidRDefault="00EC3B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2F10A0">
        <w:rPr>
          <w:rFonts w:asciiTheme="majorHAnsi" w:hAnsiTheme="majorHAnsi" w:cstheme="majorHAnsi"/>
          <w:color w:val="000000"/>
        </w:rPr>
        <w:t xml:space="preserve">Presidente </w:t>
      </w:r>
    </w:p>
    <w:p w:rsidR="0080491B" w:rsidRPr="002F10A0" w:rsidRDefault="00EC3B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2F10A0">
        <w:rPr>
          <w:rFonts w:asciiTheme="majorHAnsi" w:hAnsiTheme="majorHAnsi" w:cstheme="majorHAnsi"/>
          <w:color w:val="000000"/>
        </w:rPr>
        <w:t>Comisión Primera Constitucional</w:t>
      </w:r>
    </w:p>
    <w:p w:rsidR="0080491B" w:rsidRPr="002F10A0" w:rsidRDefault="00EC3B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2F10A0">
        <w:rPr>
          <w:rFonts w:asciiTheme="majorHAnsi" w:hAnsiTheme="majorHAnsi" w:cstheme="majorHAnsi"/>
          <w:color w:val="000000"/>
        </w:rPr>
        <w:t>Honorable Cámara de Representantes</w:t>
      </w:r>
    </w:p>
    <w:p w:rsidR="0080491B" w:rsidRPr="002F10A0" w:rsidRDefault="00EC3B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2F10A0">
        <w:rPr>
          <w:rFonts w:asciiTheme="majorHAnsi" w:hAnsiTheme="majorHAnsi" w:cstheme="majorHAnsi"/>
          <w:color w:val="000000"/>
        </w:rPr>
        <w:t>La Ciudad</w:t>
      </w:r>
    </w:p>
    <w:p w:rsidR="0080491B" w:rsidRPr="002F10A0" w:rsidRDefault="00804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</w:rPr>
      </w:pPr>
    </w:p>
    <w:p w:rsidR="003F1AC1" w:rsidRPr="003F1AC1" w:rsidRDefault="00EC3B92" w:rsidP="003F1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3F1AC1">
        <w:rPr>
          <w:rFonts w:asciiTheme="majorHAnsi" w:hAnsiTheme="majorHAnsi" w:cstheme="majorHAnsi"/>
          <w:b/>
          <w:color w:val="000000"/>
        </w:rPr>
        <w:t>Asunto</w:t>
      </w:r>
      <w:r w:rsidRPr="003F1AC1">
        <w:rPr>
          <w:rFonts w:asciiTheme="majorHAnsi" w:hAnsiTheme="majorHAnsi" w:cstheme="majorHAnsi"/>
          <w:color w:val="000000"/>
        </w:rPr>
        <w:t xml:space="preserve">: </w:t>
      </w:r>
      <w:r w:rsidR="002F10A0" w:rsidRPr="003F1AC1">
        <w:rPr>
          <w:rFonts w:asciiTheme="majorHAnsi" w:hAnsiTheme="majorHAnsi" w:cstheme="majorHAnsi"/>
          <w:color w:val="000000"/>
        </w:rPr>
        <w:t>Informe de ponencia para primer debate cámara al Proyecto de Acto Legislativo No. 377 de  2019 Cámara</w:t>
      </w:r>
      <w:r w:rsidR="003F1AC1" w:rsidRPr="003F1AC1">
        <w:rPr>
          <w:rFonts w:asciiTheme="majorHAnsi" w:hAnsiTheme="majorHAnsi" w:cstheme="majorHAnsi"/>
          <w:color w:val="000000"/>
        </w:rPr>
        <w:t xml:space="preserve"> - “Por el cual se modifican y adicionan los artículos 173, 178 y 189 de la Constitución Política de Colombia”.</w:t>
      </w:r>
    </w:p>
    <w:p w:rsidR="002F10A0" w:rsidRPr="002F10A0" w:rsidRDefault="002F10A0" w:rsidP="002F1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color w:val="000000"/>
        </w:rPr>
      </w:pPr>
    </w:p>
    <w:p w:rsidR="0080491B" w:rsidRPr="002F10A0" w:rsidRDefault="0080491B" w:rsidP="002F1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color w:val="000000"/>
        </w:rPr>
      </w:pPr>
    </w:p>
    <w:p w:rsidR="00EC3B92" w:rsidRPr="002F10A0" w:rsidRDefault="00EC3B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i/>
          <w:color w:val="000000"/>
        </w:rPr>
      </w:pPr>
    </w:p>
    <w:p w:rsidR="0080491B" w:rsidRPr="002F10A0" w:rsidRDefault="00EC3B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2F10A0">
        <w:rPr>
          <w:rFonts w:asciiTheme="majorHAnsi" w:hAnsiTheme="majorHAnsi" w:cstheme="majorHAnsi"/>
          <w:color w:val="000000"/>
        </w:rPr>
        <w:t>Respetado Presidente Santos:</w:t>
      </w:r>
    </w:p>
    <w:p w:rsidR="0080491B" w:rsidRPr="002F10A0" w:rsidRDefault="00804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2F10A0" w:rsidRPr="002F10A0" w:rsidRDefault="00EC3B92" w:rsidP="002F1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2F10A0">
        <w:rPr>
          <w:rFonts w:asciiTheme="majorHAnsi" w:hAnsiTheme="majorHAnsi" w:cstheme="majorHAnsi"/>
          <w:color w:val="000000"/>
        </w:rPr>
        <w:t xml:space="preserve">Atendiendo la honrosa designación hecha por usted de conformidad con el Acta No. </w:t>
      </w:r>
      <w:r w:rsidR="002F10A0" w:rsidRPr="002F10A0">
        <w:rPr>
          <w:rFonts w:asciiTheme="majorHAnsi" w:hAnsiTheme="majorHAnsi" w:cstheme="majorHAnsi"/>
          <w:color w:val="000000"/>
        </w:rPr>
        <w:t>032</w:t>
      </w:r>
      <w:r w:rsidRPr="002F10A0">
        <w:rPr>
          <w:rFonts w:asciiTheme="majorHAnsi" w:hAnsiTheme="majorHAnsi" w:cstheme="majorHAnsi"/>
          <w:color w:val="000000"/>
        </w:rPr>
        <w:t xml:space="preserve"> del 2018 de la Mesa Directiva de la Comisión Primera Constitucional de la Honorable Cámara de Representantes y con base en lo establec</w:t>
      </w:r>
      <w:r w:rsidR="002F10A0" w:rsidRPr="002F10A0">
        <w:rPr>
          <w:rFonts w:asciiTheme="majorHAnsi" w:hAnsiTheme="majorHAnsi" w:cstheme="majorHAnsi"/>
          <w:color w:val="000000"/>
        </w:rPr>
        <w:t xml:space="preserve">ido en los artículos 144, 150 y </w:t>
      </w:r>
      <w:r w:rsidRPr="002F10A0">
        <w:rPr>
          <w:rFonts w:asciiTheme="majorHAnsi" w:hAnsiTheme="majorHAnsi" w:cstheme="majorHAnsi"/>
          <w:color w:val="000000"/>
        </w:rPr>
        <w:t>156</w:t>
      </w:r>
      <w:r w:rsidR="00B65242" w:rsidRPr="002F10A0">
        <w:rPr>
          <w:rFonts w:asciiTheme="majorHAnsi" w:hAnsiTheme="majorHAnsi" w:cstheme="majorHAnsi"/>
          <w:color w:val="000000"/>
        </w:rPr>
        <w:t xml:space="preserve">, </w:t>
      </w:r>
      <w:r w:rsidRPr="002F10A0">
        <w:rPr>
          <w:rFonts w:asciiTheme="majorHAnsi" w:hAnsiTheme="majorHAnsi" w:cstheme="majorHAnsi"/>
          <w:color w:val="000000"/>
        </w:rPr>
        <w:t xml:space="preserve">de la Ley 5ª de 1992, nos permitimos rendir informe de ponencia para </w:t>
      </w:r>
      <w:r w:rsidR="002F10A0" w:rsidRPr="002F10A0">
        <w:rPr>
          <w:rFonts w:asciiTheme="majorHAnsi" w:hAnsiTheme="majorHAnsi" w:cstheme="majorHAnsi"/>
          <w:color w:val="000000"/>
        </w:rPr>
        <w:t>primer</w:t>
      </w:r>
      <w:r w:rsidRPr="002F10A0">
        <w:rPr>
          <w:rFonts w:asciiTheme="majorHAnsi" w:hAnsiTheme="majorHAnsi" w:cstheme="majorHAnsi"/>
          <w:color w:val="000000"/>
        </w:rPr>
        <w:t xml:space="preserve"> debate Cámara al </w:t>
      </w:r>
      <w:r w:rsidR="002F10A0" w:rsidRPr="002F10A0">
        <w:rPr>
          <w:rFonts w:asciiTheme="majorHAnsi" w:hAnsiTheme="majorHAnsi" w:cstheme="majorHAnsi"/>
          <w:color w:val="000000"/>
        </w:rPr>
        <w:t xml:space="preserve">Proyecto de Acto Legislativo No. 377 de  2019 Cámara </w:t>
      </w:r>
      <w:r w:rsidR="006E75DD">
        <w:rPr>
          <w:rFonts w:asciiTheme="majorHAnsi" w:hAnsiTheme="majorHAnsi" w:cstheme="majorHAnsi"/>
          <w:color w:val="000000"/>
        </w:rPr>
        <w:t xml:space="preserve">- </w:t>
      </w:r>
      <w:r w:rsidR="002F10A0" w:rsidRPr="002F10A0">
        <w:rPr>
          <w:rFonts w:asciiTheme="majorHAnsi" w:hAnsiTheme="majorHAnsi" w:cstheme="majorHAnsi"/>
          <w:color w:val="000000"/>
        </w:rPr>
        <w:t>“Por el cual se modifican y adicionan los artículos 173, 178 y 189 de la Constitución Política de Colombia”.</w:t>
      </w:r>
    </w:p>
    <w:p w:rsidR="002F10A0" w:rsidRPr="002F10A0" w:rsidRDefault="002F10A0" w:rsidP="002F1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color w:val="000000"/>
        </w:rPr>
      </w:pPr>
    </w:p>
    <w:p w:rsidR="0080491B" w:rsidRPr="002F10A0" w:rsidRDefault="002F1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2F10A0">
        <w:rPr>
          <w:rFonts w:asciiTheme="majorHAnsi" w:hAnsiTheme="majorHAnsi" w:cstheme="majorHAnsi"/>
          <w:color w:val="000000"/>
        </w:rPr>
        <w:t>Cordialmente,</w:t>
      </w:r>
    </w:p>
    <w:p w:rsidR="002F10A0" w:rsidRPr="002F10A0" w:rsidRDefault="002F1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2F10A0" w:rsidRPr="002F10A0" w:rsidRDefault="002F1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2F10A0" w:rsidRPr="002F10A0" w:rsidRDefault="002F1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2F10A0" w:rsidRPr="002F10A0" w:rsidRDefault="002F1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2F10A0" w:rsidRPr="002F10A0" w:rsidRDefault="002F1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</w:rPr>
      </w:pPr>
    </w:p>
    <w:p w:rsidR="0080491B" w:rsidRPr="002F10A0" w:rsidRDefault="002F1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</w:rPr>
      </w:pPr>
      <w:r w:rsidRPr="002F10A0">
        <w:rPr>
          <w:rFonts w:asciiTheme="majorHAnsi" w:hAnsiTheme="majorHAnsi" w:cstheme="majorHAnsi"/>
          <w:b/>
          <w:color w:val="000000"/>
        </w:rPr>
        <w:t>José</w:t>
      </w:r>
      <w:r>
        <w:rPr>
          <w:rFonts w:asciiTheme="majorHAnsi" w:hAnsiTheme="majorHAnsi" w:cstheme="majorHAnsi"/>
          <w:b/>
          <w:color w:val="000000"/>
        </w:rPr>
        <w:t xml:space="preserve"> Jaime </w:t>
      </w:r>
      <w:proofErr w:type="spellStart"/>
      <w:r>
        <w:rPr>
          <w:rFonts w:asciiTheme="majorHAnsi" w:hAnsiTheme="majorHAnsi" w:cstheme="majorHAnsi"/>
          <w:b/>
          <w:color w:val="000000"/>
        </w:rPr>
        <w:t>Uscá</w:t>
      </w:r>
      <w:r w:rsidRPr="002F10A0">
        <w:rPr>
          <w:rFonts w:asciiTheme="majorHAnsi" w:hAnsiTheme="majorHAnsi" w:cstheme="majorHAnsi"/>
          <w:b/>
          <w:color w:val="000000"/>
        </w:rPr>
        <w:t>tegui</w:t>
      </w:r>
      <w:proofErr w:type="spellEnd"/>
    </w:p>
    <w:p w:rsidR="002F10A0" w:rsidRPr="002F10A0" w:rsidRDefault="002F1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</w:rPr>
      </w:pPr>
      <w:r w:rsidRPr="002F10A0">
        <w:rPr>
          <w:rFonts w:asciiTheme="majorHAnsi" w:hAnsiTheme="majorHAnsi" w:cstheme="majorHAnsi"/>
          <w:b/>
          <w:color w:val="000000"/>
        </w:rPr>
        <w:t>Representante a la Cámara</w:t>
      </w:r>
    </w:p>
    <w:p w:rsidR="002F10A0" w:rsidRPr="002F10A0" w:rsidRDefault="002F1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i/>
          <w:color w:val="000000"/>
        </w:rPr>
      </w:pPr>
    </w:p>
    <w:p w:rsidR="00FA61ED" w:rsidRPr="006E75DD" w:rsidRDefault="00FA61ED" w:rsidP="00D14F3A">
      <w:pPr>
        <w:spacing w:after="0" w:line="240" w:lineRule="auto"/>
        <w:rPr>
          <w:b/>
        </w:rPr>
      </w:pPr>
      <w:r w:rsidRPr="006E75DD">
        <w:rPr>
          <w:b/>
        </w:rPr>
        <w:lastRenderedPageBreak/>
        <w:t>CONTENIDO DEL INFORME DE PONENCIA</w:t>
      </w:r>
    </w:p>
    <w:p w:rsidR="006E75DD" w:rsidRPr="006E75DD" w:rsidRDefault="006E75DD" w:rsidP="00D14F3A">
      <w:pPr>
        <w:spacing w:after="0" w:line="240" w:lineRule="auto"/>
        <w:jc w:val="both"/>
        <w:rPr>
          <w:b/>
        </w:rPr>
      </w:pPr>
      <w:r w:rsidRPr="006E75DD">
        <w:t xml:space="preserve">El presente informe rendirá ponencia positiva para </w:t>
      </w:r>
      <w:r>
        <w:t>p</w:t>
      </w:r>
      <w:r w:rsidRPr="006E75DD">
        <w:t xml:space="preserve">rimer debate Cámara al </w:t>
      </w:r>
      <w:r w:rsidRPr="006E75DD">
        <w:rPr>
          <w:rFonts w:asciiTheme="majorHAnsi" w:hAnsiTheme="majorHAnsi" w:cstheme="majorHAnsi"/>
          <w:color w:val="000000"/>
        </w:rPr>
        <w:t xml:space="preserve">Proyecto de Acto Legislativo No. 377 de  2019 Cámara </w:t>
      </w:r>
      <w:r w:rsidRPr="006E75DD">
        <w:t xml:space="preserve">- “Por el cual se modifican y adicionan los artículos 173, 178 y 189 de la Constitución Política de Colombia”. Entre las consideraciones que se abordarán en este informe se plantea: (I) </w:t>
      </w:r>
      <w:r>
        <w:t>O</w:t>
      </w:r>
      <w:r w:rsidRPr="006E75DD">
        <w:t xml:space="preserve">bjeto del proyecto (II) </w:t>
      </w:r>
      <w:r>
        <w:t>E</w:t>
      </w:r>
      <w:r w:rsidRPr="006E75DD">
        <w:t xml:space="preserve">xposición de motivos y aspectos generales (III) </w:t>
      </w:r>
      <w:r>
        <w:t>Proposición Final.</w:t>
      </w:r>
    </w:p>
    <w:p w:rsidR="006E75DD" w:rsidRDefault="006E75DD" w:rsidP="00D14F3A">
      <w:pPr>
        <w:pStyle w:val="Heading1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rPr>
          <w:rFonts w:asciiTheme="majorHAnsi" w:hAnsiTheme="majorHAnsi" w:cstheme="majorHAnsi"/>
          <w:sz w:val="22"/>
          <w:szCs w:val="22"/>
        </w:rPr>
      </w:pPr>
    </w:p>
    <w:p w:rsidR="00FA61ED" w:rsidRPr="002F10A0" w:rsidRDefault="00FA61ED" w:rsidP="00D14F3A">
      <w:pPr>
        <w:pStyle w:val="Heading1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OBJETO DEL PROYECTO</w:t>
      </w:r>
    </w:p>
    <w:p w:rsidR="00FA61ED" w:rsidRPr="00FA61ED" w:rsidRDefault="00FA61ED" w:rsidP="00D14F3A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Theme="majorHAnsi" w:hAnsiTheme="majorHAnsi" w:cstheme="majorHAnsi"/>
        </w:rPr>
      </w:pPr>
      <w:r w:rsidRPr="00FA61ED">
        <w:rPr>
          <w:rFonts w:asciiTheme="majorHAnsi" w:hAnsiTheme="majorHAnsi" w:cstheme="majorHAnsi"/>
        </w:rPr>
        <w:t>La iniciativa legislativa presentada tiene como fin que las Comisiones Segundas de ambas del Congreso de la República (Senado y Cámara de Representantes) sesionen conjuntamente para que se fortalezca el trámite para la aprobación de los ascensos militares y de policía que decreta el Gobierno ante la Rama Legislativa.</w:t>
      </w:r>
    </w:p>
    <w:p w:rsidR="00FA61ED" w:rsidRDefault="00FA61ED" w:rsidP="00D14F3A">
      <w:pPr>
        <w:pStyle w:val="Heading1"/>
        <w:tabs>
          <w:tab w:val="left" w:pos="2664"/>
        </w:tabs>
        <w:rPr>
          <w:rFonts w:asciiTheme="majorHAnsi" w:hAnsiTheme="majorHAnsi" w:cstheme="majorHAnsi"/>
          <w:sz w:val="22"/>
          <w:szCs w:val="22"/>
        </w:rPr>
      </w:pPr>
    </w:p>
    <w:p w:rsidR="002F10A0" w:rsidRPr="002F10A0" w:rsidRDefault="002F10A0" w:rsidP="00D14F3A">
      <w:pPr>
        <w:pStyle w:val="Heading1"/>
        <w:tabs>
          <w:tab w:val="left" w:pos="2664"/>
        </w:tabs>
        <w:rPr>
          <w:rFonts w:asciiTheme="majorHAnsi" w:hAnsiTheme="majorHAnsi" w:cstheme="majorHAnsi"/>
          <w:sz w:val="22"/>
          <w:szCs w:val="22"/>
        </w:rPr>
      </w:pPr>
      <w:r w:rsidRPr="002F10A0">
        <w:rPr>
          <w:rFonts w:asciiTheme="majorHAnsi" w:hAnsiTheme="majorHAnsi" w:cstheme="majorHAnsi"/>
          <w:sz w:val="22"/>
          <w:szCs w:val="22"/>
        </w:rPr>
        <w:t>ANTECEDENTES DEL PROYECTO</w:t>
      </w:r>
    </w:p>
    <w:p w:rsidR="002F10A0" w:rsidRPr="002F10A0" w:rsidRDefault="002F10A0" w:rsidP="002F10A0">
      <w:pPr>
        <w:spacing w:after="0" w:line="240" w:lineRule="auto"/>
        <w:ind w:right="113"/>
        <w:jc w:val="both"/>
        <w:rPr>
          <w:rFonts w:asciiTheme="majorHAnsi" w:hAnsiTheme="majorHAnsi" w:cstheme="majorHAnsi"/>
        </w:rPr>
      </w:pPr>
      <w:r w:rsidRPr="002F10A0">
        <w:rPr>
          <w:rFonts w:asciiTheme="majorHAnsi" w:hAnsiTheme="majorHAnsi" w:cstheme="majorHAnsi"/>
        </w:rPr>
        <w:t>El Proyecto de Acto Legislativo No. 377 de 2019 Cámara fue presentado en nombre de los representantes JUAN DAVID VÉLEZ y ALEJANDRO CARLOS CHACÓN CAMARGO, el día 10 de abril de 2019. Dicha iniciativa contó con el respaldo del pleno de la Comisión II de la Cámara de Representantes (</w:t>
      </w:r>
      <w:proofErr w:type="spellStart"/>
      <w:r w:rsidRPr="002F10A0">
        <w:rPr>
          <w:rFonts w:asciiTheme="majorHAnsi" w:hAnsiTheme="majorHAnsi" w:cstheme="majorHAnsi"/>
        </w:rPr>
        <w:t>Neyla</w:t>
      </w:r>
      <w:proofErr w:type="spellEnd"/>
      <w:r w:rsidRPr="002F10A0">
        <w:rPr>
          <w:rFonts w:asciiTheme="majorHAnsi" w:hAnsiTheme="majorHAnsi" w:cstheme="majorHAnsi"/>
        </w:rPr>
        <w:t xml:space="preserve"> Ruiz Correa (Partido Alianza Verde), Astrid Sánchez Montes de Oca (Partido de la Unidad Nacional), Anatolio Hernández Lozano (Partido de la Unidad Nacional), Jorge Enrique Benedetti (Partido Cambio Radical), Carlos </w:t>
      </w:r>
      <w:proofErr w:type="spellStart"/>
      <w:r w:rsidRPr="002F10A0">
        <w:rPr>
          <w:rFonts w:asciiTheme="majorHAnsi" w:hAnsiTheme="majorHAnsi" w:cstheme="majorHAnsi"/>
        </w:rPr>
        <w:t>Ardila</w:t>
      </w:r>
      <w:proofErr w:type="spellEnd"/>
      <w:r w:rsidRPr="002F10A0">
        <w:rPr>
          <w:rFonts w:asciiTheme="majorHAnsi" w:hAnsiTheme="majorHAnsi" w:cstheme="majorHAnsi"/>
        </w:rPr>
        <w:t xml:space="preserve"> (Partido Liberal), José Vicente Carreño (Centro Democrático), Abel David Jaramillo (Movimiento Alternativo Indígena y Social), </w:t>
      </w:r>
      <w:r w:rsidR="00942AA1" w:rsidRPr="002F10A0">
        <w:rPr>
          <w:rFonts w:asciiTheme="majorHAnsi" w:hAnsiTheme="majorHAnsi" w:cstheme="majorHAnsi"/>
        </w:rPr>
        <w:t>Germán</w:t>
      </w:r>
      <w:r w:rsidRPr="002F10A0">
        <w:rPr>
          <w:rFonts w:asciiTheme="majorHAnsi" w:hAnsiTheme="majorHAnsi" w:cstheme="majorHAnsi"/>
        </w:rPr>
        <w:t xml:space="preserve"> Blanco (Partido Conservador), Jaime Armando </w:t>
      </w:r>
      <w:proofErr w:type="spellStart"/>
      <w:r w:rsidRPr="002F10A0">
        <w:rPr>
          <w:rFonts w:asciiTheme="majorHAnsi" w:hAnsiTheme="majorHAnsi" w:cstheme="majorHAnsi"/>
        </w:rPr>
        <w:t>Yepes</w:t>
      </w:r>
      <w:proofErr w:type="spellEnd"/>
      <w:r w:rsidRPr="002F10A0">
        <w:rPr>
          <w:rFonts w:asciiTheme="majorHAnsi" w:hAnsiTheme="majorHAnsi" w:cstheme="majorHAnsi"/>
        </w:rPr>
        <w:t xml:space="preserve"> (Partido de la Unidad Nacional), </w:t>
      </w:r>
      <w:proofErr w:type="spellStart"/>
      <w:r w:rsidRPr="002F10A0">
        <w:rPr>
          <w:rFonts w:asciiTheme="majorHAnsi" w:hAnsiTheme="majorHAnsi" w:cstheme="majorHAnsi"/>
        </w:rPr>
        <w:t>Eneiro</w:t>
      </w:r>
      <w:proofErr w:type="spellEnd"/>
      <w:r w:rsidRPr="002F10A0">
        <w:rPr>
          <w:rFonts w:asciiTheme="majorHAnsi" w:hAnsiTheme="majorHAnsi" w:cstheme="majorHAnsi"/>
        </w:rPr>
        <w:t xml:space="preserve"> Rincón (Partido Liberal), Cesar Eugenio </w:t>
      </w:r>
      <w:r w:rsidR="00942AA1" w:rsidRPr="002F10A0">
        <w:rPr>
          <w:rFonts w:asciiTheme="majorHAnsi" w:hAnsiTheme="majorHAnsi" w:cstheme="majorHAnsi"/>
        </w:rPr>
        <w:t>Martínez</w:t>
      </w:r>
      <w:r w:rsidRPr="002F10A0">
        <w:rPr>
          <w:rFonts w:asciiTheme="majorHAnsi" w:hAnsiTheme="majorHAnsi" w:cstheme="majorHAnsi"/>
        </w:rPr>
        <w:t xml:space="preserve"> (Partido Centro Democrático), Jaime Felipe Lozada (Partido Conservador), Gustavo Londoño (Partido Centro Democrático), Atilano Giraldo Arboleda (Partido Cambio Radical) y </w:t>
      </w:r>
      <w:r w:rsidR="00942AA1" w:rsidRPr="002F10A0">
        <w:rPr>
          <w:rFonts w:asciiTheme="majorHAnsi" w:hAnsiTheme="majorHAnsi" w:cstheme="majorHAnsi"/>
        </w:rPr>
        <w:t>Héctor</w:t>
      </w:r>
      <w:r w:rsidRPr="002F10A0">
        <w:rPr>
          <w:rFonts w:asciiTheme="majorHAnsi" w:hAnsiTheme="majorHAnsi" w:cstheme="majorHAnsi"/>
        </w:rPr>
        <w:t xml:space="preserve"> Javier Sierra (Partido Cambio Radical).)</w:t>
      </w:r>
    </w:p>
    <w:p w:rsidR="002F10A0" w:rsidRDefault="002F10A0" w:rsidP="002F10A0">
      <w:pPr>
        <w:spacing w:after="0" w:line="240" w:lineRule="auto"/>
        <w:ind w:right="113"/>
        <w:jc w:val="both"/>
        <w:rPr>
          <w:rFonts w:asciiTheme="majorHAnsi" w:hAnsiTheme="majorHAnsi" w:cstheme="majorHAnsi"/>
        </w:rPr>
      </w:pPr>
    </w:p>
    <w:p w:rsidR="002F10A0" w:rsidRPr="002F10A0" w:rsidRDefault="002F10A0" w:rsidP="002F10A0">
      <w:pPr>
        <w:pStyle w:val="BodyText"/>
        <w:ind w:right="113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2F10A0">
        <w:rPr>
          <w:rFonts w:asciiTheme="majorHAnsi" w:hAnsiTheme="majorHAnsi" w:cstheme="majorHAnsi"/>
          <w:sz w:val="22"/>
          <w:szCs w:val="22"/>
          <w:lang w:val="es-CO"/>
        </w:rPr>
        <w:t>El proyecto fue remitido a la Comisión Primera de la Cámara de Representantes. El 23 de abril de 2019</w:t>
      </w:r>
      <w:r w:rsidR="00FA61ED">
        <w:rPr>
          <w:rFonts w:asciiTheme="majorHAnsi" w:hAnsiTheme="majorHAnsi" w:cstheme="majorHAnsi"/>
          <w:sz w:val="22"/>
          <w:szCs w:val="22"/>
          <w:lang w:val="es-CO"/>
        </w:rPr>
        <w:t xml:space="preserve"> y </w:t>
      </w:r>
      <w:r w:rsidR="00FA61ED" w:rsidRPr="00FA61ED">
        <w:rPr>
          <w:rFonts w:asciiTheme="majorHAnsi" w:hAnsiTheme="majorHAnsi" w:cstheme="majorHAnsi"/>
          <w:color w:val="000000"/>
          <w:sz w:val="22"/>
          <w:szCs w:val="22"/>
          <w:lang w:val="es-CO"/>
        </w:rPr>
        <w:t>de conformidad con el Acta No. 032</w:t>
      </w:r>
      <w:r w:rsidR="00FA61ED">
        <w:rPr>
          <w:rFonts w:asciiTheme="majorHAnsi" w:hAnsiTheme="majorHAnsi" w:cstheme="majorHAnsi"/>
          <w:color w:val="000000"/>
          <w:sz w:val="22"/>
          <w:szCs w:val="22"/>
          <w:lang w:val="es-CO"/>
        </w:rPr>
        <w:t xml:space="preserve"> del 2019 </w:t>
      </w:r>
      <w:r w:rsidR="00FA61ED" w:rsidRPr="00FA61ED">
        <w:rPr>
          <w:rFonts w:asciiTheme="majorHAnsi" w:hAnsiTheme="majorHAnsi" w:cstheme="majorHAnsi"/>
          <w:color w:val="000000"/>
          <w:sz w:val="22"/>
          <w:szCs w:val="22"/>
          <w:lang w:val="es-CO"/>
        </w:rPr>
        <w:t>de la Mesa Directiva de la Comisión Primera Constitucional de la Honorable Cámara de Representantes</w:t>
      </w:r>
      <w:r w:rsidR="00FA61ED">
        <w:rPr>
          <w:rFonts w:asciiTheme="majorHAnsi" w:hAnsiTheme="majorHAnsi" w:cstheme="majorHAnsi"/>
          <w:sz w:val="22"/>
          <w:szCs w:val="22"/>
          <w:lang w:val="es-CO"/>
        </w:rPr>
        <w:t xml:space="preserve"> se </w:t>
      </w:r>
      <w:r w:rsidRPr="002F10A0">
        <w:rPr>
          <w:rFonts w:asciiTheme="majorHAnsi" w:hAnsiTheme="majorHAnsi" w:cstheme="majorHAnsi"/>
          <w:sz w:val="22"/>
          <w:szCs w:val="22"/>
          <w:lang w:val="es-CO"/>
        </w:rPr>
        <w:t>estableció que el</w:t>
      </w:r>
      <w:r w:rsidR="00FA61ED">
        <w:rPr>
          <w:rFonts w:asciiTheme="majorHAnsi" w:hAnsiTheme="majorHAnsi" w:cstheme="majorHAnsi"/>
          <w:sz w:val="22"/>
          <w:szCs w:val="22"/>
          <w:lang w:val="es-CO"/>
        </w:rPr>
        <w:t xml:space="preserve"> suscrito</w:t>
      </w:r>
      <w:r w:rsidRPr="002F10A0"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="00FA61ED">
        <w:rPr>
          <w:rFonts w:asciiTheme="majorHAnsi" w:hAnsiTheme="majorHAnsi" w:cstheme="majorHAnsi"/>
          <w:sz w:val="22"/>
          <w:szCs w:val="22"/>
          <w:lang w:val="es-CO"/>
        </w:rPr>
        <w:t>Representante</w:t>
      </w:r>
      <w:r w:rsidRPr="002F10A0">
        <w:rPr>
          <w:rFonts w:asciiTheme="majorHAnsi" w:hAnsiTheme="majorHAnsi" w:cstheme="majorHAnsi"/>
          <w:sz w:val="22"/>
          <w:szCs w:val="22"/>
          <w:lang w:val="es-CO"/>
        </w:rPr>
        <w:t xml:space="preserve"> JOSE JAIME USCATEGUI PASTRANA, actuara como coordinador ponente. </w:t>
      </w:r>
    </w:p>
    <w:p w:rsidR="002F10A0" w:rsidRDefault="002F10A0" w:rsidP="002F10A0">
      <w:pPr>
        <w:spacing w:after="0" w:line="240" w:lineRule="auto"/>
        <w:ind w:right="113"/>
        <w:jc w:val="both"/>
        <w:rPr>
          <w:rFonts w:asciiTheme="majorHAnsi" w:hAnsiTheme="majorHAnsi" w:cstheme="majorHAnsi"/>
        </w:rPr>
      </w:pPr>
    </w:p>
    <w:p w:rsidR="002F10A0" w:rsidRDefault="002F10A0" w:rsidP="002F10A0">
      <w:pPr>
        <w:spacing w:after="0" w:line="240" w:lineRule="auto"/>
        <w:ind w:right="113"/>
        <w:jc w:val="both"/>
        <w:rPr>
          <w:rFonts w:asciiTheme="majorHAnsi" w:hAnsiTheme="majorHAnsi" w:cstheme="majorHAnsi"/>
        </w:rPr>
      </w:pPr>
      <w:r w:rsidRPr="002F10A0">
        <w:rPr>
          <w:rFonts w:asciiTheme="majorHAnsi" w:hAnsiTheme="majorHAnsi" w:cstheme="majorHAnsi"/>
        </w:rPr>
        <w:t xml:space="preserve">Dicho Proyecto de Acto Legislativo </w:t>
      </w:r>
      <w:r w:rsidR="00FA61ED">
        <w:rPr>
          <w:rFonts w:asciiTheme="majorHAnsi" w:hAnsiTheme="majorHAnsi" w:cstheme="majorHAnsi"/>
        </w:rPr>
        <w:t>consta de cuatro (04) artículos incluyendo la vigencia.</w:t>
      </w:r>
    </w:p>
    <w:p w:rsidR="00D14F3A" w:rsidRDefault="00D14F3A" w:rsidP="002F10A0">
      <w:pPr>
        <w:spacing w:after="0" w:line="240" w:lineRule="auto"/>
        <w:ind w:right="113"/>
        <w:jc w:val="both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/>
      </w:tblPr>
      <w:tblGrid>
        <w:gridCol w:w="1526"/>
        <w:gridCol w:w="7452"/>
      </w:tblGrid>
      <w:tr w:rsidR="00FA61ED" w:rsidTr="00D14F3A">
        <w:tc>
          <w:tcPr>
            <w:tcW w:w="1526" w:type="dxa"/>
          </w:tcPr>
          <w:p w:rsidR="00FA61ED" w:rsidRPr="00FA61ED" w:rsidRDefault="00FA61ED" w:rsidP="00FA61ED">
            <w:pPr>
              <w:ind w:right="113"/>
              <w:jc w:val="center"/>
              <w:rPr>
                <w:rFonts w:asciiTheme="majorHAnsi" w:hAnsiTheme="majorHAnsi" w:cstheme="majorHAnsi"/>
                <w:b/>
              </w:rPr>
            </w:pPr>
            <w:r w:rsidRPr="00FA61ED">
              <w:rPr>
                <w:rFonts w:asciiTheme="majorHAnsi" w:hAnsiTheme="majorHAnsi" w:cstheme="majorHAnsi"/>
                <w:b/>
              </w:rPr>
              <w:t>Articulo</w:t>
            </w:r>
          </w:p>
        </w:tc>
        <w:tc>
          <w:tcPr>
            <w:tcW w:w="7452" w:type="dxa"/>
          </w:tcPr>
          <w:p w:rsidR="00FA61ED" w:rsidRPr="00FA61ED" w:rsidRDefault="00FA61ED" w:rsidP="00FA61ED">
            <w:pPr>
              <w:ind w:right="113"/>
              <w:jc w:val="center"/>
              <w:rPr>
                <w:rFonts w:asciiTheme="majorHAnsi" w:hAnsiTheme="majorHAnsi" w:cstheme="majorHAnsi"/>
                <w:b/>
              </w:rPr>
            </w:pPr>
            <w:r w:rsidRPr="00FA61ED">
              <w:rPr>
                <w:rFonts w:asciiTheme="majorHAnsi" w:hAnsiTheme="majorHAnsi" w:cstheme="majorHAnsi"/>
                <w:b/>
              </w:rPr>
              <w:t>Tema</w:t>
            </w:r>
          </w:p>
        </w:tc>
      </w:tr>
      <w:tr w:rsidR="00FA61ED" w:rsidTr="00D14F3A">
        <w:tc>
          <w:tcPr>
            <w:tcW w:w="1526" w:type="dxa"/>
            <w:vAlign w:val="center"/>
          </w:tcPr>
          <w:p w:rsidR="00FA61ED" w:rsidRDefault="00FA61ED" w:rsidP="00FA61ED">
            <w:pPr>
              <w:ind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Articulo 1º</w:t>
            </w:r>
          </w:p>
        </w:tc>
        <w:tc>
          <w:tcPr>
            <w:tcW w:w="7452" w:type="dxa"/>
            <w:vAlign w:val="center"/>
          </w:tcPr>
          <w:p w:rsidR="00FA61ED" w:rsidRDefault="00FA61ED" w:rsidP="00FA61ED">
            <w:pPr>
              <w:ind w:right="113"/>
              <w:jc w:val="both"/>
              <w:rPr>
                <w:rFonts w:asciiTheme="majorHAnsi" w:hAnsiTheme="majorHAnsi" w:cstheme="majorHAnsi"/>
              </w:rPr>
            </w:pPr>
            <w:r w:rsidRPr="00FA61ED">
              <w:rPr>
                <w:rFonts w:asciiTheme="majorHAnsi" w:hAnsiTheme="majorHAnsi" w:cstheme="majorHAnsi"/>
                <w:u w:val="single"/>
              </w:rPr>
              <w:t>Modifica el numeral 2 del Artículo 173</w:t>
            </w:r>
            <w:r>
              <w:rPr>
                <w:rFonts w:asciiTheme="majorHAnsi" w:hAnsiTheme="majorHAnsi" w:cstheme="majorHAnsi"/>
              </w:rPr>
              <w:t xml:space="preserve"> de la constitución para que la aprobación de los ascensos militares se haga en Comisiones Conjuntas incluyendo así a la Comisión Segunda de la Cámara de Representantes.</w:t>
            </w:r>
          </w:p>
        </w:tc>
      </w:tr>
      <w:tr w:rsidR="00FA61ED" w:rsidTr="00D14F3A">
        <w:tc>
          <w:tcPr>
            <w:tcW w:w="1526" w:type="dxa"/>
            <w:vAlign w:val="center"/>
          </w:tcPr>
          <w:p w:rsidR="00FA61ED" w:rsidRDefault="00FA61ED" w:rsidP="00FA61ED">
            <w:pPr>
              <w:ind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Articulo 2º</w:t>
            </w:r>
          </w:p>
        </w:tc>
        <w:tc>
          <w:tcPr>
            <w:tcW w:w="7452" w:type="dxa"/>
            <w:vAlign w:val="center"/>
          </w:tcPr>
          <w:p w:rsidR="00FA61ED" w:rsidRDefault="00FA61ED" w:rsidP="00FA61ED">
            <w:pPr>
              <w:ind w:right="113"/>
              <w:jc w:val="both"/>
              <w:rPr>
                <w:rFonts w:asciiTheme="majorHAnsi" w:hAnsiTheme="majorHAnsi" w:cstheme="majorHAnsi"/>
              </w:rPr>
            </w:pPr>
            <w:r w:rsidRPr="00FA61ED">
              <w:rPr>
                <w:rFonts w:asciiTheme="majorHAnsi" w:hAnsiTheme="majorHAnsi" w:cstheme="majorHAnsi"/>
                <w:u w:val="single"/>
              </w:rPr>
              <w:t>Adiciona un numeral 6 al Artículo 178</w:t>
            </w:r>
            <w:r>
              <w:rPr>
                <w:rFonts w:asciiTheme="majorHAnsi" w:hAnsiTheme="majorHAnsi" w:cstheme="majorHAnsi"/>
              </w:rPr>
              <w:t xml:space="preserve"> de la constitución para que la aprobación de los ascensos militares se haga en Comisiones conjuntas incluyendo así a la Comisión Segunda de la Cámara de Representantes.</w:t>
            </w:r>
          </w:p>
        </w:tc>
      </w:tr>
      <w:tr w:rsidR="00FA61ED" w:rsidTr="00D14F3A">
        <w:tc>
          <w:tcPr>
            <w:tcW w:w="1526" w:type="dxa"/>
            <w:vAlign w:val="center"/>
          </w:tcPr>
          <w:p w:rsidR="00FA61ED" w:rsidRPr="00FA61ED" w:rsidRDefault="00FA61ED" w:rsidP="00FA61ED">
            <w:pPr>
              <w:ind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Articulo 3º</w:t>
            </w:r>
          </w:p>
        </w:tc>
        <w:tc>
          <w:tcPr>
            <w:tcW w:w="7452" w:type="dxa"/>
            <w:vAlign w:val="center"/>
          </w:tcPr>
          <w:p w:rsidR="00D14F3A" w:rsidRDefault="00D14F3A" w:rsidP="00FA61ED">
            <w:pPr>
              <w:ind w:right="113"/>
              <w:jc w:val="both"/>
              <w:rPr>
                <w:rFonts w:asciiTheme="majorHAnsi" w:hAnsiTheme="majorHAnsi" w:cstheme="majorHAnsi"/>
                <w:u w:val="single"/>
              </w:rPr>
            </w:pPr>
          </w:p>
          <w:p w:rsidR="00FA61ED" w:rsidRDefault="00FA61ED" w:rsidP="00FA61ED">
            <w:pPr>
              <w:ind w:right="11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u w:val="single"/>
              </w:rPr>
              <w:t>Modifica</w:t>
            </w:r>
            <w:r w:rsidRPr="00FA61ED">
              <w:rPr>
                <w:rFonts w:asciiTheme="majorHAnsi" w:hAnsiTheme="majorHAnsi" w:cstheme="majorHAnsi"/>
                <w:u w:val="single"/>
              </w:rPr>
              <w:t xml:space="preserve"> </w:t>
            </w:r>
            <w:r>
              <w:rPr>
                <w:rFonts w:asciiTheme="majorHAnsi" w:hAnsiTheme="majorHAnsi" w:cstheme="majorHAnsi"/>
                <w:u w:val="single"/>
              </w:rPr>
              <w:t>el</w:t>
            </w:r>
            <w:r w:rsidRPr="00FA61ED">
              <w:rPr>
                <w:rFonts w:asciiTheme="majorHAnsi" w:hAnsiTheme="majorHAnsi" w:cstheme="majorHAnsi"/>
                <w:u w:val="single"/>
              </w:rPr>
              <w:t xml:space="preserve"> numeral </w:t>
            </w:r>
            <w:r>
              <w:rPr>
                <w:rFonts w:asciiTheme="majorHAnsi" w:hAnsiTheme="majorHAnsi" w:cstheme="majorHAnsi"/>
                <w:u w:val="single"/>
              </w:rPr>
              <w:t>19</w:t>
            </w:r>
            <w:r w:rsidRPr="00FA61ED">
              <w:rPr>
                <w:rFonts w:asciiTheme="majorHAnsi" w:hAnsiTheme="majorHAnsi" w:cstheme="majorHAnsi"/>
                <w:u w:val="single"/>
              </w:rPr>
              <w:t xml:space="preserve"> </w:t>
            </w:r>
            <w:r>
              <w:rPr>
                <w:rFonts w:asciiTheme="majorHAnsi" w:hAnsiTheme="majorHAnsi" w:cstheme="majorHAnsi"/>
                <w:u w:val="single"/>
              </w:rPr>
              <w:t>del</w:t>
            </w:r>
            <w:r w:rsidRPr="00FA61ED">
              <w:rPr>
                <w:rFonts w:asciiTheme="majorHAnsi" w:hAnsiTheme="majorHAnsi" w:cstheme="majorHAnsi"/>
                <w:u w:val="single"/>
              </w:rPr>
              <w:t xml:space="preserve"> Artículo </w:t>
            </w:r>
            <w:r>
              <w:rPr>
                <w:rFonts w:asciiTheme="majorHAnsi" w:hAnsiTheme="majorHAnsi" w:cstheme="majorHAnsi"/>
                <w:u w:val="single"/>
              </w:rPr>
              <w:t>189</w:t>
            </w:r>
            <w:r>
              <w:rPr>
                <w:rFonts w:asciiTheme="majorHAnsi" w:hAnsiTheme="majorHAnsi" w:cstheme="majorHAnsi"/>
              </w:rPr>
              <w:t xml:space="preserve"> de la constitución para que la aprobación de los ascensos militares del que habla la función presidencial se haga en Comisiones conjuntas incluyendo así a la Comisión Segunda de la Cámara de Representantes.</w:t>
            </w:r>
          </w:p>
        </w:tc>
      </w:tr>
      <w:tr w:rsidR="00FA61ED" w:rsidTr="00D14F3A">
        <w:trPr>
          <w:trHeight w:val="476"/>
        </w:trPr>
        <w:tc>
          <w:tcPr>
            <w:tcW w:w="1526" w:type="dxa"/>
            <w:vAlign w:val="center"/>
          </w:tcPr>
          <w:p w:rsidR="00FA61ED" w:rsidRDefault="00FA61ED" w:rsidP="00FA61ED">
            <w:pPr>
              <w:ind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Articulo 4º</w:t>
            </w:r>
          </w:p>
        </w:tc>
        <w:tc>
          <w:tcPr>
            <w:tcW w:w="7452" w:type="dxa"/>
            <w:vAlign w:val="center"/>
          </w:tcPr>
          <w:p w:rsidR="00FA61ED" w:rsidRDefault="00FA61ED" w:rsidP="00FA61ED">
            <w:pPr>
              <w:ind w:right="11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Contiene la vigencia y derogatoria</w:t>
            </w:r>
          </w:p>
        </w:tc>
      </w:tr>
    </w:tbl>
    <w:p w:rsidR="00FA61ED" w:rsidRDefault="00FA61ED" w:rsidP="00FA61ED">
      <w:pPr>
        <w:pStyle w:val="Heading1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rPr>
          <w:rFonts w:asciiTheme="majorHAnsi" w:hAnsiTheme="majorHAnsi" w:cstheme="majorHAnsi"/>
          <w:sz w:val="22"/>
          <w:szCs w:val="22"/>
        </w:rPr>
      </w:pPr>
    </w:p>
    <w:p w:rsidR="00D14F3A" w:rsidRDefault="00D14F3A" w:rsidP="00FA61ED">
      <w:pPr>
        <w:pStyle w:val="Heading1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rPr>
          <w:rFonts w:asciiTheme="majorHAnsi" w:hAnsiTheme="majorHAnsi" w:cstheme="majorHAnsi"/>
          <w:sz w:val="22"/>
          <w:szCs w:val="22"/>
        </w:rPr>
      </w:pPr>
    </w:p>
    <w:p w:rsidR="00D14F3A" w:rsidRDefault="00D14F3A" w:rsidP="00FA61ED">
      <w:pPr>
        <w:pStyle w:val="Heading1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rPr>
          <w:rFonts w:asciiTheme="majorHAnsi" w:hAnsiTheme="majorHAnsi" w:cstheme="majorHAnsi"/>
          <w:sz w:val="22"/>
          <w:szCs w:val="22"/>
        </w:rPr>
      </w:pPr>
    </w:p>
    <w:p w:rsidR="002F10A0" w:rsidRPr="002F10A0" w:rsidRDefault="002F10A0" w:rsidP="00FA61ED">
      <w:pPr>
        <w:pStyle w:val="Heading1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rPr>
          <w:rFonts w:asciiTheme="majorHAnsi" w:hAnsiTheme="majorHAnsi" w:cstheme="majorHAnsi"/>
          <w:sz w:val="22"/>
          <w:szCs w:val="22"/>
        </w:rPr>
      </w:pPr>
      <w:r w:rsidRPr="002F10A0">
        <w:rPr>
          <w:rFonts w:asciiTheme="majorHAnsi" w:hAnsiTheme="majorHAnsi" w:cstheme="majorHAnsi"/>
          <w:sz w:val="22"/>
          <w:szCs w:val="22"/>
        </w:rPr>
        <w:t>EXPOSICIÓN DE</w:t>
      </w:r>
      <w:r w:rsidRPr="002F10A0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2F10A0">
        <w:rPr>
          <w:rFonts w:asciiTheme="majorHAnsi" w:hAnsiTheme="majorHAnsi" w:cstheme="majorHAnsi"/>
          <w:sz w:val="22"/>
          <w:szCs w:val="22"/>
        </w:rPr>
        <w:t>MOTIVOS Y ASPECTOS GENERALES</w:t>
      </w:r>
    </w:p>
    <w:p w:rsidR="00FA61ED" w:rsidRDefault="00FA61ED" w:rsidP="00FA61ED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Theme="majorHAnsi" w:hAnsiTheme="majorHAnsi" w:cstheme="majorHAnsi"/>
        </w:rPr>
      </w:pPr>
    </w:p>
    <w:p w:rsidR="002F10A0" w:rsidRPr="00FA61ED" w:rsidRDefault="002F10A0" w:rsidP="00FA61ED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Theme="majorHAnsi" w:hAnsiTheme="majorHAnsi" w:cstheme="majorHAnsi"/>
          <w:b/>
        </w:rPr>
      </w:pPr>
      <w:r w:rsidRPr="00FA61ED">
        <w:rPr>
          <w:rFonts w:asciiTheme="majorHAnsi" w:hAnsiTheme="majorHAnsi" w:cstheme="majorHAnsi"/>
          <w:b/>
        </w:rPr>
        <w:t>Funciones</w:t>
      </w:r>
      <w:r w:rsidR="00FA61ED">
        <w:rPr>
          <w:rFonts w:asciiTheme="majorHAnsi" w:hAnsiTheme="majorHAnsi" w:cstheme="majorHAnsi"/>
          <w:b/>
        </w:rPr>
        <w:t xml:space="preserve"> de las Comisiones Segundas del Congreso</w:t>
      </w:r>
    </w:p>
    <w:p w:rsidR="002F10A0" w:rsidRPr="002F10A0" w:rsidRDefault="002F10A0" w:rsidP="00FA61ED">
      <w:pPr>
        <w:spacing w:after="0" w:line="240" w:lineRule="auto"/>
        <w:jc w:val="both"/>
        <w:rPr>
          <w:rFonts w:asciiTheme="majorHAnsi" w:eastAsiaTheme="minorHAnsi" w:hAnsiTheme="majorHAnsi" w:cstheme="majorHAnsi"/>
          <w:lang w:val="es-ES"/>
        </w:rPr>
      </w:pPr>
      <w:r w:rsidRPr="002F10A0">
        <w:rPr>
          <w:rFonts w:asciiTheme="majorHAnsi" w:hAnsiTheme="majorHAnsi" w:cstheme="majorHAnsi"/>
        </w:rPr>
        <w:t xml:space="preserve">Son funciones de las Comisiones Segundas </w:t>
      </w:r>
      <w:r w:rsidRPr="002F10A0">
        <w:rPr>
          <w:rFonts w:asciiTheme="majorHAnsi" w:hAnsiTheme="majorHAnsi" w:cstheme="majorHAnsi"/>
          <w:lang w:val="es-ES"/>
        </w:rPr>
        <w:t>conocer de la política internacional, la defensa nacional y la fuerza pública, los tratados públicos, la carrera diplomática y consular; el comercio exterior e integración económica: la política portuaria; las relaciones parlamentarias, internacionales y supranacionales, asuntos diplomáticos no reservados constitucionalmente al Gobierno; las fronteras; la nacionalidad; los extranjeros; la migración; los honores y monumentos públicos; el servicio militar; las zonas francas y de libre comercio; la contratación internacional.</w:t>
      </w:r>
    </w:p>
    <w:p w:rsidR="002F10A0" w:rsidRPr="002F10A0" w:rsidRDefault="002F10A0" w:rsidP="002F10A0">
      <w:pPr>
        <w:pStyle w:val="ListParagraph"/>
        <w:spacing w:after="0" w:line="240" w:lineRule="auto"/>
        <w:ind w:left="709" w:right="113"/>
        <w:rPr>
          <w:rFonts w:asciiTheme="majorHAnsi" w:hAnsiTheme="majorHAnsi" w:cstheme="majorHAnsi"/>
          <w:lang w:val="es-ES"/>
        </w:rPr>
      </w:pPr>
    </w:p>
    <w:p w:rsidR="002F10A0" w:rsidRPr="002F10A0" w:rsidRDefault="002F10A0" w:rsidP="00FA61ED">
      <w:pPr>
        <w:pStyle w:val="BodyText"/>
        <w:ind w:right="116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2F10A0">
        <w:rPr>
          <w:rFonts w:asciiTheme="majorHAnsi" w:hAnsiTheme="majorHAnsi" w:cstheme="majorHAnsi"/>
          <w:sz w:val="22"/>
          <w:szCs w:val="22"/>
          <w:lang w:val="es-CO"/>
        </w:rPr>
        <w:t xml:space="preserve">Asimismo, mediante sentencia C-975 de 2002 establece que “(…), </w:t>
      </w:r>
      <w:r w:rsidRPr="002F10A0">
        <w:rPr>
          <w:rFonts w:asciiTheme="majorHAnsi" w:hAnsiTheme="majorHAnsi" w:cstheme="majorHAnsi"/>
          <w:i/>
          <w:sz w:val="22"/>
          <w:szCs w:val="22"/>
          <w:lang w:val="es-CO"/>
        </w:rPr>
        <w:t xml:space="preserve">las comisiones </w:t>
      </w:r>
      <w:proofErr w:type="spellStart"/>
      <w:r w:rsidRPr="002F10A0">
        <w:rPr>
          <w:rFonts w:asciiTheme="majorHAnsi" w:hAnsiTheme="majorHAnsi" w:cstheme="majorHAnsi"/>
          <w:i/>
          <w:sz w:val="22"/>
          <w:szCs w:val="22"/>
          <w:lang w:val="es-CO"/>
        </w:rPr>
        <w:t>congresionales</w:t>
      </w:r>
      <w:proofErr w:type="spellEnd"/>
      <w:r w:rsidRPr="002F10A0">
        <w:rPr>
          <w:rFonts w:asciiTheme="majorHAnsi" w:hAnsiTheme="majorHAnsi" w:cstheme="majorHAnsi"/>
          <w:i/>
          <w:sz w:val="22"/>
          <w:szCs w:val="22"/>
          <w:lang w:val="es-CO"/>
        </w:rPr>
        <w:t xml:space="preserve"> permanentes tiene como objetivo fundamental la tecnificación, especialización y distribución racional del trabajo, (…), y garantizar que las funciones asignadas al Congreso de la Republica se ejecuten con celeridad, eficiencia y efectividad</w:t>
      </w:r>
      <w:r w:rsidRPr="002F10A0">
        <w:rPr>
          <w:rFonts w:asciiTheme="majorHAnsi" w:hAnsiTheme="majorHAnsi" w:cstheme="majorHAnsi"/>
          <w:sz w:val="22"/>
          <w:szCs w:val="22"/>
          <w:lang w:val="es-CO"/>
        </w:rPr>
        <w:t>”</w:t>
      </w:r>
      <w:r w:rsidRPr="002F10A0">
        <w:rPr>
          <w:rStyle w:val="FootnoteReference"/>
          <w:rFonts w:asciiTheme="majorHAnsi" w:hAnsiTheme="majorHAnsi" w:cstheme="majorHAnsi"/>
          <w:sz w:val="22"/>
          <w:szCs w:val="22"/>
          <w:lang w:val="es-CO"/>
        </w:rPr>
        <w:footnoteReference w:id="1"/>
      </w:r>
      <w:r w:rsidRPr="002F10A0">
        <w:rPr>
          <w:rFonts w:asciiTheme="majorHAnsi" w:hAnsiTheme="majorHAnsi" w:cstheme="majorHAnsi"/>
          <w:sz w:val="22"/>
          <w:szCs w:val="22"/>
          <w:lang w:val="es-CO"/>
        </w:rPr>
        <w:t>. De igual manera la sentencia C-540 de 2001 indica que la distribución del trabajo legislativo permite que se logre eficacia y agilidad en dicha actividad</w:t>
      </w:r>
      <w:r w:rsidRPr="002F10A0">
        <w:rPr>
          <w:rStyle w:val="FootnoteReference"/>
          <w:rFonts w:asciiTheme="majorHAnsi" w:hAnsiTheme="majorHAnsi" w:cstheme="majorHAnsi"/>
          <w:sz w:val="22"/>
          <w:szCs w:val="22"/>
          <w:lang w:val="es-CO"/>
        </w:rPr>
        <w:footnoteReference w:id="2"/>
      </w:r>
      <w:r w:rsidRPr="002F10A0">
        <w:rPr>
          <w:rFonts w:asciiTheme="majorHAnsi" w:hAnsiTheme="majorHAnsi" w:cstheme="majorHAnsi"/>
          <w:sz w:val="22"/>
          <w:szCs w:val="22"/>
          <w:lang w:val="es-CO"/>
        </w:rPr>
        <w:t>.</w:t>
      </w:r>
    </w:p>
    <w:p w:rsidR="002F10A0" w:rsidRPr="002F10A0" w:rsidRDefault="002F10A0" w:rsidP="002F10A0">
      <w:pPr>
        <w:pStyle w:val="BodyText"/>
        <w:ind w:left="709" w:right="116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:rsidR="002F10A0" w:rsidRPr="002F10A0" w:rsidRDefault="002F10A0" w:rsidP="00FA61ED">
      <w:pPr>
        <w:pStyle w:val="BodyText"/>
        <w:ind w:right="116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2F10A0">
        <w:rPr>
          <w:rFonts w:asciiTheme="majorHAnsi" w:hAnsiTheme="majorHAnsi" w:cstheme="majorHAnsi"/>
          <w:sz w:val="22"/>
          <w:szCs w:val="22"/>
          <w:lang w:val="es-CO"/>
        </w:rPr>
        <w:t xml:space="preserve">También manifiesta que el artículo 169, de la Ley 5 de 1992, instaura que las Comisiones Permanentes homologas sesionarán conjuntamente para dar debates que consideren. </w:t>
      </w:r>
    </w:p>
    <w:p w:rsidR="002F10A0" w:rsidRPr="002F10A0" w:rsidRDefault="002F10A0" w:rsidP="002F10A0">
      <w:pPr>
        <w:pStyle w:val="BodyText"/>
        <w:ind w:left="709" w:right="116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:rsidR="002F10A0" w:rsidRPr="002F10A0" w:rsidRDefault="002F10A0" w:rsidP="00FA61ED">
      <w:pPr>
        <w:pStyle w:val="BodyText"/>
        <w:ind w:right="116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2F10A0">
        <w:rPr>
          <w:rFonts w:asciiTheme="majorHAnsi" w:hAnsiTheme="majorHAnsi" w:cstheme="majorHAnsi"/>
          <w:sz w:val="22"/>
          <w:szCs w:val="22"/>
          <w:lang w:val="es-CO"/>
        </w:rPr>
        <w:t xml:space="preserve">Indican los autores que toda vez que los parlamentarios que pertenecen a dichas Comisiones Segundas, tienen experticia y conocimiento en temas relacionados a la Seguridad y Defensa Nacional, las sesiones conjuntas serán provechosas para desarrollar las aprobaciones de los oficiales generales y oficiales de insignia de nuestra Fuerza Pública. </w:t>
      </w:r>
    </w:p>
    <w:p w:rsidR="002F10A0" w:rsidRPr="002F10A0" w:rsidRDefault="002F10A0" w:rsidP="002F10A0">
      <w:pPr>
        <w:pStyle w:val="BodyText"/>
        <w:ind w:left="709" w:right="116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:rsidR="00D14F3A" w:rsidRDefault="002F10A0" w:rsidP="006E75DD">
      <w:pPr>
        <w:pStyle w:val="BodyText"/>
        <w:ind w:right="116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2F10A0">
        <w:rPr>
          <w:rFonts w:asciiTheme="majorHAnsi" w:hAnsiTheme="majorHAnsi" w:cstheme="majorHAnsi"/>
          <w:sz w:val="22"/>
          <w:szCs w:val="22"/>
          <w:lang w:val="es-CO"/>
        </w:rPr>
        <w:t>De igual manera, los congresistas autores y coautores de la iniciativa manifiestan que dicha iniciativa fue presentada y contó con los buenos comentarios de los enlaces de las Fuerzas Armadas ante el Congreso de la Repú</w:t>
      </w:r>
      <w:bookmarkStart w:id="2" w:name="_GoBack"/>
      <w:bookmarkEnd w:id="2"/>
      <w:r w:rsidRPr="002F10A0">
        <w:rPr>
          <w:rFonts w:asciiTheme="majorHAnsi" w:hAnsiTheme="majorHAnsi" w:cstheme="majorHAnsi"/>
          <w:sz w:val="22"/>
          <w:szCs w:val="22"/>
          <w:lang w:val="es-CO"/>
        </w:rPr>
        <w:t>blica.</w:t>
      </w:r>
    </w:p>
    <w:p w:rsidR="00D14F3A" w:rsidRDefault="00D14F3A" w:rsidP="006E75DD">
      <w:pPr>
        <w:pStyle w:val="BodyText"/>
        <w:ind w:right="116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:rsidR="002F10A0" w:rsidRPr="002F10A0" w:rsidRDefault="002F10A0" w:rsidP="006E75DD">
      <w:pPr>
        <w:pStyle w:val="BodyText"/>
        <w:ind w:right="116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2F10A0">
        <w:rPr>
          <w:rFonts w:asciiTheme="majorHAnsi" w:hAnsiTheme="majorHAnsi" w:cstheme="majorHAnsi"/>
          <w:sz w:val="22"/>
          <w:szCs w:val="22"/>
          <w:lang w:val="es-CO"/>
        </w:rPr>
        <w:t>Finalmente, se aclara que dicho Proyecto de Acto Legislativo no busca imponer dificultades a los ascensos de los miembros de la Fuerza Pública, sino todo lo contrario: que se enriquezca el debate y que las Comisiones Segundas Conjuntas sirvan de veedoras en el estudio y garantes de la aprobación de los ascensos de los mejores hombres que prestar su servicio a la Defensa, Seguridad y Protección de la nación colombiana.</w:t>
      </w:r>
    </w:p>
    <w:p w:rsidR="002F10A0" w:rsidRPr="002F10A0" w:rsidRDefault="002F10A0" w:rsidP="002F10A0">
      <w:pPr>
        <w:pStyle w:val="BodyText"/>
        <w:ind w:left="709" w:right="116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:rsidR="006E75DD" w:rsidRDefault="006E75DD" w:rsidP="006E75DD">
      <w:pPr>
        <w:pStyle w:val="Heading1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857"/>
        </w:tabs>
        <w:autoSpaceDE w:val="0"/>
        <w:autoSpaceDN w:val="0"/>
        <w:rPr>
          <w:rFonts w:asciiTheme="majorHAnsi" w:hAnsiTheme="majorHAnsi" w:cstheme="majorHAnsi"/>
          <w:sz w:val="22"/>
          <w:szCs w:val="22"/>
        </w:rPr>
      </w:pPr>
    </w:p>
    <w:p w:rsidR="002F10A0" w:rsidRPr="002F10A0" w:rsidRDefault="002F10A0" w:rsidP="006E75DD">
      <w:pPr>
        <w:pStyle w:val="Heading1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857"/>
        </w:tabs>
        <w:autoSpaceDE w:val="0"/>
        <w:autoSpaceDN w:val="0"/>
        <w:rPr>
          <w:rFonts w:asciiTheme="majorHAnsi" w:hAnsiTheme="majorHAnsi" w:cstheme="majorHAnsi"/>
          <w:sz w:val="22"/>
          <w:szCs w:val="22"/>
        </w:rPr>
      </w:pPr>
      <w:r w:rsidRPr="002F10A0">
        <w:rPr>
          <w:rFonts w:asciiTheme="majorHAnsi" w:hAnsiTheme="majorHAnsi" w:cstheme="majorHAnsi"/>
          <w:sz w:val="22"/>
          <w:szCs w:val="22"/>
        </w:rPr>
        <w:t>PROPOSICIÓN</w:t>
      </w:r>
      <w:r w:rsidR="006E75DD">
        <w:rPr>
          <w:rFonts w:asciiTheme="majorHAnsi" w:hAnsiTheme="majorHAnsi" w:cstheme="majorHAnsi"/>
          <w:sz w:val="22"/>
          <w:szCs w:val="22"/>
        </w:rPr>
        <w:t xml:space="preserve"> FINAL</w:t>
      </w:r>
    </w:p>
    <w:p w:rsidR="00D14F3A" w:rsidRDefault="00D14F3A" w:rsidP="006E75DD">
      <w:pPr>
        <w:spacing w:after="0" w:line="240" w:lineRule="auto"/>
        <w:ind w:right="116"/>
        <w:jc w:val="both"/>
        <w:rPr>
          <w:rFonts w:asciiTheme="majorHAnsi" w:eastAsia="Arial" w:hAnsiTheme="majorHAnsi" w:cstheme="majorHAnsi"/>
          <w:b/>
          <w:lang w:eastAsia="en-GB" w:bidi="en-GB"/>
        </w:rPr>
      </w:pPr>
    </w:p>
    <w:p w:rsidR="002F10A0" w:rsidRPr="00D14F3A" w:rsidRDefault="002F10A0" w:rsidP="006E75DD">
      <w:pPr>
        <w:spacing w:after="0" w:line="240" w:lineRule="auto"/>
        <w:ind w:right="116"/>
        <w:jc w:val="both"/>
        <w:rPr>
          <w:rFonts w:asciiTheme="majorHAnsi" w:hAnsiTheme="majorHAnsi" w:cstheme="majorHAnsi"/>
          <w:u w:val="single"/>
        </w:rPr>
      </w:pPr>
      <w:r w:rsidRPr="002F10A0">
        <w:rPr>
          <w:rFonts w:asciiTheme="majorHAnsi" w:hAnsiTheme="majorHAnsi" w:cstheme="majorHAnsi"/>
        </w:rPr>
        <w:t xml:space="preserve">Con base en las anteriores consideraciones y en cumplimiento de la Constitución Política y de la Ley 5ª de 1992, presento ponencia favorable y en consecuencia solicitamos muy atentamente a los honorables Congresistas </w:t>
      </w:r>
      <w:r w:rsidRPr="00D14F3A">
        <w:rPr>
          <w:rFonts w:asciiTheme="majorHAnsi" w:hAnsiTheme="majorHAnsi" w:cstheme="majorHAnsi"/>
          <w:u w:val="single"/>
        </w:rPr>
        <w:t>dar primer debate al Proyecto de Acto Legislativo (PAL) No. 377 de 2019 Cámara “Por el cual se modifican y adicionan los artículos 173, 178 y 189 de la Constitución Política de Colombia”.</w:t>
      </w:r>
    </w:p>
    <w:p w:rsidR="002F10A0" w:rsidRPr="002F10A0" w:rsidRDefault="002F10A0" w:rsidP="002F10A0">
      <w:pPr>
        <w:spacing w:after="0" w:line="240" w:lineRule="auto"/>
        <w:ind w:left="102" w:right="116"/>
        <w:jc w:val="both"/>
        <w:rPr>
          <w:rFonts w:asciiTheme="majorHAnsi" w:hAnsiTheme="majorHAnsi" w:cstheme="majorHAnsi"/>
        </w:rPr>
      </w:pPr>
    </w:p>
    <w:p w:rsidR="00D14F3A" w:rsidRDefault="00D14F3A" w:rsidP="006E75DD">
      <w:pPr>
        <w:pStyle w:val="BodyText"/>
        <w:rPr>
          <w:rFonts w:asciiTheme="majorHAnsi" w:hAnsiTheme="majorHAnsi" w:cstheme="majorHAnsi"/>
          <w:sz w:val="22"/>
          <w:szCs w:val="22"/>
          <w:lang w:val="es-CO"/>
        </w:rPr>
      </w:pPr>
    </w:p>
    <w:p w:rsidR="002F10A0" w:rsidRPr="002F10A0" w:rsidRDefault="002F10A0" w:rsidP="006E75DD">
      <w:pPr>
        <w:pStyle w:val="BodyText"/>
        <w:rPr>
          <w:rFonts w:asciiTheme="majorHAnsi" w:hAnsiTheme="majorHAnsi" w:cstheme="majorHAnsi"/>
          <w:sz w:val="22"/>
          <w:szCs w:val="22"/>
          <w:lang w:val="es-CO"/>
        </w:rPr>
      </w:pPr>
      <w:r w:rsidRPr="002F10A0">
        <w:rPr>
          <w:rFonts w:asciiTheme="majorHAnsi" w:hAnsiTheme="majorHAnsi" w:cstheme="majorHAnsi"/>
          <w:sz w:val="22"/>
          <w:szCs w:val="22"/>
          <w:lang w:val="es-CO"/>
        </w:rPr>
        <w:t>Cordialmente,</w:t>
      </w:r>
    </w:p>
    <w:p w:rsidR="002F10A0" w:rsidRPr="002F10A0" w:rsidRDefault="002F10A0" w:rsidP="002F10A0">
      <w:pPr>
        <w:pStyle w:val="BodyText"/>
        <w:ind w:left="102"/>
        <w:rPr>
          <w:rFonts w:asciiTheme="majorHAnsi" w:hAnsiTheme="majorHAnsi" w:cstheme="majorHAnsi"/>
          <w:sz w:val="22"/>
          <w:szCs w:val="22"/>
          <w:lang w:val="es-CO"/>
        </w:rPr>
      </w:pPr>
    </w:p>
    <w:p w:rsidR="002F10A0" w:rsidRPr="002F10A0" w:rsidRDefault="002F10A0" w:rsidP="002F10A0">
      <w:pPr>
        <w:pStyle w:val="BodyText"/>
        <w:ind w:left="102"/>
        <w:rPr>
          <w:rFonts w:asciiTheme="majorHAnsi" w:hAnsiTheme="majorHAnsi" w:cstheme="majorHAnsi"/>
          <w:sz w:val="22"/>
          <w:szCs w:val="22"/>
          <w:lang w:val="es-CO"/>
        </w:rPr>
      </w:pPr>
    </w:p>
    <w:p w:rsidR="002F10A0" w:rsidRPr="002F10A0" w:rsidRDefault="002F10A0" w:rsidP="002F10A0">
      <w:pPr>
        <w:pStyle w:val="BodyText"/>
        <w:ind w:left="102"/>
        <w:rPr>
          <w:rFonts w:asciiTheme="majorHAnsi" w:hAnsiTheme="majorHAnsi" w:cstheme="majorHAnsi"/>
          <w:sz w:val="22"/>
          <w:szCs w:val="22"/>
          <w:lang w:val="es-CO"/>
        </w:rPr>
      </w:pPr>
    </w:p>
    <w:p w:rsidR="002F10A0" w:rsidRPr="002F10A0" w:rsidRDefault="002F10A0" w:rsidP="002F10A0">
      <w:pPr>
        <w:pStyle w:val="BodyText"/>
        <w:rPr>
          <w:rFonts w:asciiTheme="majorHAnsi" w:hAnsiTheme="majorHAnsi" w:cstheme="majorHAnsi"/>
          <w:sz w:val="22"/>
          <w:szCs w:val="22"/>
          <w:lang w:val="es-CO"/>
        </w:rPr>
      </w:pPr>
    </w:p>
    <w:p w:rsidR="006E75DD" w:rsidRPr="002F10A0" w:rsidRDefault="006E75DD" w:rsidP="006E7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</w:rPr>
      </w:pPr>
      <w:r w:rsidRPr="002F10A0">
        <w:rPr>
          <w:rFonts w:asciiTheme="majorHAnsi" w:hAnsiTheme="majorHAnsi" w:cstheme="majorHAnsi"/>
          <w:b/>
          <w:color w:val="000000"/>
        </w:rPr>
        <w:t>José</w:t>
      </w:r>
      <w:r>
        <w:rPr>
          <w:rFonts w:asciiTheme="majorHAnsi" w:hAnsiTheme="majorHAnsi" w:cstheme="majorHAnsi"/>
          <w:b/>
          <w:color w:val="000000"/>
        </w:rPr>
        <w:t xml:space="preserve"> Jaime </w:t>
      </w:r>
      <w:proofErr w:type="spellStart"/>
      <w:r>
        <w:rPr>
          <w:rFonts w:asciiTheme="majorHAnsi" w:hAnsiTheme="majorHAnsi" w:cstheme="majorHAnsi"/>
          <w:b/>
          <w:color w:val="000000"/>
        </w:rPr>
        <w:t>Uscá</w:t>
      </w:r>
      <w:r w:rsidRPr="002F10A0">
        <w:rPr>
          <w:rFonts w:asciiTheme="majorHAnsi" w:hAnsiTheme="majorHAnsi" w:cstheme="majorHAnsi"/>
          <w:b/>
          <w:color w:val="000000"/>
        </w:rPr>
        <w:t>tegui</w:t>
      </w:r>
      <w:proofErr w:type="spellEnd"/>
    </w:p>
    <w:p w:rsidR="006E75DD" w:rsidRPr="006E75DD" w:rsidRDefault="006E75DD" w:rsidP="006E7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6E75DD">
        <w:rPr>
          <w:rFonts w:asciiTheme="majorHAnsi" w:hAnsiTheme="majorHAnsi" w:cstheme="majorHAnsi"/>
          <w:color w:val="000000"/>
        </w:rPr>
        <w:t>Representante a la Cámara</w:t>
      </w:r>
    </w:p>
    <w:p w:rsidR="006E75DD" w:rsidRPr="006E75DD" w:rsidRDefault="006E75DD" w:rsidP="006E7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6E75DD">
        <w:rPr>
          <w:rFonts w:asciiTheme="majorHAnsi" w:hAnsiTheme="majorHAnsi" w:cstheme="majorHAnsi"/>
          <w:color w:val="000000"/>
        </w:rPr>
        <w:t>Coordinador Ponente</w:t>
      </w:r>
    </w:p>
    <w:p w:rsidR="006E75DD" w:rsidRPr="002F10A0" w:rsidRDefault="006E75DD" w:rsidP="006E7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</w:rPr>
      </w:pPr>
    </w:p>
    <w:p w:rsidR="002F10A0" w:rsidRPr="002F10A0" w:rsidRDefault="002F10A0" w:rsidP="002F10A0">
      <w:pPr>
        <w:pStyle w:val="BodyText"/>
        <w:ind w:left="822" w:firstLine="618"/>
        <w:rPr>
          <w:rFonts w:asciiTheme="majorHAnsi" w:hAnsiTheme="majorHAnsi" w:cstheme="majorHAnsi"/>
          <w:sz w:val="22"/>
          <w:szCs w:val="22"/>
          <w:lang w:val="es-CO"/>
        </w:rPr>
      </w:pPr>
    </w:p>
    <w:p w:rsidR="002F10A0" w:rsidRPr="002F10A0" w:rsidRDefault="002F10A0" w:rsidP="002F10A0">
      <w:pPr>
        <w:spacing w:after="0" w:line="240" w:lineRule="auto"/>
        <w:rPr>
          <w:rFonts w:asciiTheme="majorHAnsi" w:hAnsiTheme="majorHAnsi" w:cstheme="majorHAnsi"/>
        </w:rPr>
      </w:pPr>
    </w:p>
    <w:p w:rsidR="006E75DD" w:rsidRDefault="006E75DD" w:rsidP="006E75DD">
      <w:pPr>
        <w:spacing w:after="0" w:line="240" w:lineRule="auto"/>
        <w:rPr>
          <w:rFonts w:asciiTheme="majorHAnsi" w:hAnsiTheme="majorHAnsi" w:cstheme="majorHAnsi"/>
        </w:rPr>
      </w:pPr>
    </w:p>
    <w:p w:rsidR="006E75DD" w:rsidRDefault="006E75DD" w:rsidP="006E75DD">
      <w:pPr>
        <w:spacing w:after="0" w:line="240" w:lineRule="auto"/>
        <w:rPr>
          <w:rFonts w:asciiTheme="majorHAnsi" w:hAnsiTheme="majorHAnsi" w:cstheme="majorHAnsi"/>
        </w:rPr>
      </w:pPr>
    </w:p>
    <w:p w:rsidR="006E75DD" w:rsidRDefault="006E75DD" w:rsidP="006E75DD">
      <w:pPr>
        <w:spacing w:after="0" w:line="240" w:lineRule="auto"/>
        <w:rPr>
          <w:rFonts w:asciiTheme="majorHAnsi" w:hAnsiTheme="majorHAnsi" w:cstheme="majorHAnsi"/>
        </w:rPr>
      </w:pPr>
    </w:p>
    <w:p w:rsidR="006E75DD" w:rsidRDefault="006E75DD" w:rsidP="006E75DD">
      <w:pPr>
        <w:spacing w:after="0" w:line="240" w:lineRule="auto"/>
        <w:rPr>
          <w:rFonts w:asciiTheme="majorHAnsi" w:hAnsiTheme="majorHAnsi" w:cstheme="majorHAnsi"/>
        </w:rPr>
      </w:pPr>
    </w:p>
    <w:p w:rsidR="006E75DD" w:rsidRDefault="006E75DD" w:rsidP="006E75DD">
      <w:pPr>
        <w:spacing w:after="0" w:line="240" w:lineRule="auto"/>
        <w:rPr>
          <w:rFonts w:asciiTheme="majorHAnsi" w:hAnsiTheme="majorHAnsi" w:cstheme="majorHAnsi"/>
        </w:rPr>
      </w:pPr>
    </w:p>
    <w:p w:rsidR="006E75DD" w:rsidRDefault="006E75DD" w:rsidP="006E75DD">
      <w:pPr>
        <w:spacing w:after="0" w:line="240" w:lineRule="auto"/>
        <w:rPr>
          <w:rFonts w:asciiTheme="majorHAnsi" w:hAnsiTheme="majorHAnsi" w:cstheme="majorHAnsi"/>
        </w:rPr>
      </w:pPr>
    </w:p>
    <w:p w:rsidR="006E75DD" w:rsidRDefault="006E75DD" w:rsidP="006E75DD">
      <w:pPr>
        <w:spacing w:after="0" w:line="240" w:lineRule="auto"/>
        <w:rPr>
          <w:rFonts w:asciiTheme="majorHAnsi" w:hAnsiTheme="majorHAnsi" w:cstheme="majorHAnsi"/>
        </w:rPr>
      </w:pPr>
    </w:p>
    <w:p w:rsidR="006E75DD" w:rsidRDefault="006E75DD" w:rsidP="006E75DD">
      <w:pPr>
        <w:spacing w:after="0" w:line="240" w:lineRule="auto"/>
        <w:rPr>
          <w:rFonts w:asciiTheme="majorHAnsi" w:hAnsiTheme="majorHAnsi" w:cstheme="majorHAnsi"/>
        </w:rPr>
      </w:pPr>
    </w:p>
    <w:p w:rsidR="00D14F3A" w:rsidRDefault="00D14F3A" w:rsidP="006E75DD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D14F3A" w:rsidRDefault="00D14F3A" w:rsidP="006E75DD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2F10A0" w:rsidRPr="006E75DD" w:rsidRDefault="002F10A0" w:rsidP="006E75DD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6E75DD">
        <w:rPr>
          <w:rFonts w:asciiTheme="majorHAnsi" w:hAnsiTheme="majorHAnsi" w:cstheme="majorHAnsi"/>
          <w:b/>
        </w:rPr>
        <w:lastRenderedPageBreak/>
        <w:t>TEXTO PROPUESTO PARA PRIMER DEBATE DEL PROYECTO DE ACTO LEGISLATIVO No. 377 DE 2019 CÁMARA.</w:t>
      </w:r>
      <w:r w:rsidR="006E75DD">
        <w:rPr>
          <w:rFonts w:asciiTheme="majorHAnsi" w:hAnsiTheme="majorHAnsi" w:cstheme="majorHAnsi"/>
          <w:b/>
        </w:rPr>
        <w:t xml:space="preserve"> </w:t>
      </w:r>
      <w:r w:rsidRPr="006E75DD">
        <w:rPr>
          <w:rFonts w:asciiTheme="majorHAnsi" w:hAnsiTheme="majorHAnsi" w:cstheme="majorHAnsi"/>
          <w:b/>
        </w:rPr>
        <w:t>“</w:t>
      </w:r>
      <w:r w:rsidRPr="006E75DD">
        <w:rPr>
          <w:rFonts w:asciiTheme="majorHAnsi" w:hAnsiTheme="majorHAnsi" w:cstheme="majorHAnsi"/>
          <w:b/>
          <w:i/>
        </w:rPr>
        <w:t>Por el cual se modifican y adicionan los artículos 173, 178 y 189 de la Constitución Política de Colombia</w:t>
      </w:r>
      <w:r w:rsidRPr="006E75DD">
        <w:rPr>
          <w:rFonts w:asciiTheme="majorHAnsi" w:hAnsiTheme="majorHAnsi" w:cstheme="majorHAnsi"/>
          <w:b/>
        </w:rPr>
        <w:t>”</w:t>
      </w:r>
      <w:r w:rsidRPr="006E75DD">
        <w:rPr>
          <w:rFonts w:asciiTheme="majorHAnsi" w:hAnsiTheme="majorHAnsi" w:cstheme="majorHAnsi"/>
        </w:rPr>
        <w:t>.</w:t>
      </w:r>
    </w:p>
    <w:p w:rsidR="002F10A0" w:rsidRPr="006E75DD" w:rsidRDefault="002F10A0" w:rsidP="002F10A0">
      <w:pPr>
        <w:pStyle w:val="BodyText"/>
        <w:rPr>
          <w:rFonts w:asciiTheme="majorHAnsi" w:hAnsiTheme="majorHAnsi" w:cstheme="majorHAnsi"/>
          <w:b/>
          <w:i/>
          <w:sz w:val="22"/>
          <w:szCs w:val="22"/>
          <w:lang w:val="es-CO"/>
        </w:rPr>
      </w:pPr>
    </w:p>
    <w:p w:rsidR="002F10A0" w:rsidRPr="006E75DD" w:rsidRDefault="002F10A0" w:rsidP="006E75DD">
      <w:pPr>
        <w:pStyle w:val="BodyText"/>
        <w:jc w:val="center"/>
        <w:rPr>
          <w:rFonts w:asciiTheme="majorHAnsi" w:hAnsiTheme="majorHAnsi" w:cstheme="majorHAnsi"/>
          <w:sz w:val="21"/>
          <w:szCs w:val="21"/>
          <w:lang w:val="es-CO"/>
        </w:rPr>
      </w:pPr>
      <w:r w:rsidRPr="006E75DD">
        <w:rPr>
          <w:rFonts w:asciiTheme="majorHAnsi" w:hAnsiTheme="majorHAnsi" w:cstheme="majorHAnsi"/>
          <w:sz w:val="21"/>
          <w:szCs w:val="21"/>
          <w:lang w:val="es-CO"/>
        </w:rPr>
        <w:t xml:space="preserve">El Congreso de Colombia </w:t>
      </w:r>
    </w:p>
    <w:p w:rsidR="002F10A0" w:rsidRPr="006E75DD" w:rsidRDefault="002F10A0" w:rsidP="002F10A0">
      <w:pPr>
        <w:pStyle w:val="BodyText"/>
        <w:jc w:val="center"/>
        <w:rPr>
          <w:rFonts w:asciiTheme="majorHAnsi" w:hAnsiTheme="majorHAnsi" w:cstheme="majorHAnsi"/>
          <w:sz w:val="21"/>
          <w:szCs w:val="21"/>
          <w:lang w:val="es-CO"/>
        </w:rPr>
      </w:pPr>
      <w:r w:rsidRPr="006E75DD">
        <w:rPr>
          <w:rFonts w:asciiTheme="majorHAnsi" w:hAnsiTheme="majorHAnsi" w:cstheme="majorHAnsi"/>
          <w:sz w:val="21"/>
          <w:szCs w:val="21"/>
          <w:lang w:val="es-CO"/>
        </w:rPr>
        <w:t>DECRETA:</w:t>
      </w:r>
    </w:p>
    <w:p w:rsidR="006E75DD" w:rsidRPr="006E75DD" w:rsidRDefault="006E75DD" w:rsidP="002F10A0">
      <w:pPr>
        <w:spacing w:after="0" w:line="240" w:lineRule="auto"/>
        <w:jc w:val="both"/>
        <w:rPr>
          <w:rFonts w:asciiTheme="majorHAnsi" w:eastAsia="Arial" w:hAnsiTheme="majorHAnsi" w:cstheme="majorHAnsi"/>
          <w:b/>
          <w:i/>
          <w:sz w:val="21"/>
          <w:szCs w:val="21"/>
          <w:lang w:eastAsia="en-GB" w:bidi="en-GB"/>
        </w:rPr>
      </w:pPr>
    </w:p>
    <w:p w:rsidR="002F10A0" w:rsidRPr="006E75DD" w:rsidRDefault="002F10A0" w:rsidP="002F10A0">
      <w:pPr>
        <w:spacing w:after="0" w:line="240" w:lineRule="auto"/>
        <w:jc w:val="both"/>
        <w:rPr>
          <w:rFonts w:asciiTheme="majorHAnsi" w:eastAsiaTheme="minorHAnsi" w:hAnsiTheme="majorHAnsi" w:cstheme="majorHAnsi"/>
          <w:sz w:val="21"/>
          <w:szCs w:val="21"/>
          <w:lang w:val="es-ES"/>
        </w:rPr>
      </w:pPr>
      <w:r w:rsidRPr="006E75DD">
        <w:rPr>
          <w:rFonts w:asciiTheme="majorHAnsi" w:hAnsiTheme="majorHAnsi" w:cstheme="majorHAnsi"/>
          <w:b/>
          <w:sz w:val="21"/>
          <w:szCs w:val="21"/>
          <w:lang w:val="es-ES"/>
        </w:rPr>
        <w:t xml:space="preserve">Artículo 1º. </w:t>
      </w:r>
      <w:r w:rsidRPr="006E75DD">
        <w:rPr>
          <w:rFonts w:asciiTheme="majorHAnsi" w:hAnsiTheme="majorHAnsi" w:cstheme="majorHAnsi"/>
          <w:sz w:val="21"/>
          <w:szCs w:val="21"/>
          <w:lang w:val="es-ES"/>
        </w:rPr>
        <w:t xml:space="preserve">Modifíquese el Numeral 2 del Artículo 173 de la Constitución Política de Colombia, que quedará así: </w:t>
      </w:r>
    </w:p>
    <w:p w:rsidR="006E75DD" w:rsidRPr="006E75DD" w:rsidRDefault="006E75DD" w:rsidP="006E75DD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  <w:lang w:val="es-ES"/>
        </w:rPr>
      </w:pPr>
    </w:p>
    <w:p w:rsidR="006E75DD" w:rsidRPr="006E75DD" w:rsidRDefault="002F10A0" w:rsidP="006E75DD">
      <w:pPr>
        <w:spacing w:after="0" w:line="240" w:lineRule="auto"/>
        <w:ind w:left="720"/>
        <w:jc w:val="both"/>
        <w:rPr>
          <w:rFonts w:asciiTheme="majorHAnsi" w:hAnsiTheme="majorHAnsi" w:cstheme="majorHAnsi"/>
          <w:sz w:val="21"/>
          <w:szCs w:val="21"/>
          <w:lang w:val="es-ES"/>
        </w:rPr>
      </w:pPr>
      <w:r w:rsidRPr="006E75DD">
        <w:rPr>
          <w:rFonts w:asciiTheme="majorHAnsi" w:hAnsiTheme="majorHAnsi" w:cstheme="majorHAnsi"/>
          <w:sz w:val="21"/>
          <w:szCs w:val="21"/>
          <w:lang w:val="es-ES"/>
        </w:rPr>
        <w:t>Artículo 173. Son atribuciones del Senado:</w:t>
      </w:r>
    </w:p>
    <w:p w:rsidR="002F10A0" w:rsidRPr="006E75DD" w:rsidRDefault="002F10A0" w:rsidP="002F10A0">
      <w:pPr>
        <w:pStyle w:val="ListParagraph"/>
        <w:numPr>
          <w:ilvl w:val="0"/>
          <w:numId w:val="18"/>
        </w:numPr>
        <w:spacing w:after="0" w:line="240" w:lineRule="auto"/>
        <w:ind w:left="1134"/>
        <w:jc w:val="both"/>
        <w:rPr>
          <w:rFonts w:asciiTheme="majorHAnsi" w:hAnsiTheme="majorHAnsi" w:cstheme="majorHAnsi"/>
          <w:sz w:val="21"/>
          <w:szCs w:val="21"/>
          <w:lang w:val="es-ES"/>
        </w:rPr>
      </w:pPr>
      <w:r w:rsidRPr="006E75DD">
        <w:rPr>
          <w:rFonts w:asciiTheme="majorHAnsi" w:hAnsiTheme="majorHAnsi" w:cstheme="majorHAnsi"/>
          <w:sz w:val="21"/>
          <w:szCs w:val="21"/>
          <w:lang w:val="es-ES"/>
        </w:rPr>
        <w:t>Aprobar o improbar en Comisiones Conjuntas, los ascensos militares que confiera el Gobierno, desde oficiales generales y oficiales de insignia de la Fuerza Pública, hasta el más alto grado.</w:t>
      </w:r>
    </w:p>
    <w:p w:rsidR="002F10A0" w:rsidRPr="006E75DD" w:rsidRDefault="002F10A0" w:rsidP="002F10A0">
      <w:pPr>
        <w:spacing w:after="0" w:line="240" w:lineRule="auto"/>
        <w:ind w:left="720"/>
        <w:jc w:val="both"/>
        <w:rPr>
          <w:rFonts w:asciiTheme="majorHAnsi" w:hAnsiTheme="majorHAnsi" w:cstheme="majorHAnsi"/>
          <w:sz w:val="21"/>
          <w:szCs w:val="21"/>
          <w:lang w:val="es-ES"/>
        </w:rPr>
      </w:pPr>
    </w:p>
    <w:p w:rsidR="002F10A0" w:rsidRPr="006E75DD" w:rsidRDefault="002F10A0" w:rsidP="002F10A0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  <w:lang w:val="es-ES"/>
        </w:rPr>
      </w:pPr>
      <w:r w:rsidRPr="006E75DD">
        <w:rPr>
          <w:rFonts w:asciiTheme="majorHAnsi" w:hAnsiTheme="majorHAnsi" w:cstheme="majorHAnsi"/>
          <w:b/>
          <w:sz w:val="21"/>
          <w:szCs w:val="21"/>
          <w:lang w:val="es-ES"/>
        </w:rPr>
        <w:t>Artículo 2º</w:t>
      </w:r>
      <w:r w:rsidRPr="006E75DD">
        <w:rPr>
          <w:rFonts w:asciiTheme="majorHAnsi" w:hAnsiTheme="majorHAnsi" w:cstheme="majorHAnsi"/>
          <w:sz w:val="21"/>
          <w:szCs w:val="21"/>
          <w:lang w:val="es-ES"/>
        </w:rPr>
        <w:t>. Adiciónese al artículo 178 de la Constitución Política de Colombia el Numeral 6, que quedará así:</w:t>
      </w:r>
    </w:p>
    <w:p w:rsidR="006E75DD" w:rsidRPr="006E75DD" w:rsidRDefault="006E75DD" w:rsidP="002F10A0">
      <w:pPr>
        <w:spacing w:after="0" w:line="240" w:lineRule="auto"/>
        <w:ind w:left="720"/>
        <w:jc w:val="both"/>
        <w:rPr>
          <w:rFonts w:asciiTheme="majorHAnsi" w:hAnsiTheme="majorHAnsi" w:cstheme="majorHAnsi"/>
          <w:sz w:val="21"/>
          <w:szCs w:val="21"/>
          <w:lang w:val="es-ES"/>
        </w:rPr>
      </w:pPr>
    </w:p>
    <w:p w:rsidR="006E75DD" w:rsidRPr="006E75DD" w:rsidRDefault="002F10A0" w:rsidP="006E75DD">
      <w:pPr>
        <w:spacing w:after="0" w:line="240" w:lineRule="auto"/>
        <w:ind w:left="720"/>
        <w:jc w:val="both"/>
        <w:rPr>
          <w:rFonts w:asciiTheme="majorHAnsi" w:hAnsiTheme="majorHAnsi" w:cstheme="majorHAnsi"/>
          <w:sz w:val="21"/>
          <w:szCs w:val="21"/>
          <w:lang w:val="es-ES"/>
        </w:rPr>
      </w:pPr>
      <w:r w:rsidRPr="006E75DD">
        <w:rPr>
          <w:rFonts w:asciiTheme="majorHAnsi" w:hAnsiTheme="majorHAnsi" w:cstheme="majorHAnsi"/>
          <w:sz w:val="21"/>
          <w:szCs w:val="21"/>
          <w:lang w:val="es-ES"/>
        </w:rPr>
        <w:t>Artículo 178. La Cámara de Representantes tendrá las siguientes atribuciones especiales:</w:t>
      </w:r>
    </w:p>
    <w:p w:rsidR="002F10A0" w:rsidRPr="006E75DD" w:rsidRDefault="002F10A0" w:rsidP="002F10A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sz w:val="21"/>
          <w:szCs w:val="21"/>
          <w:lang w:val="es-ES"/>
        </w:rPr>
      </w:pPr>
      <w:r w:rsidRPr="006E75DD">
        <w:rPr>
          <w:rFonts w:asciiTheme="majorHAnsi" w:hAnsiTheme="majorHAnsi" w:cstheme="majorHAnsi"/>
          <w:sz w:val="21"/>
          <w:szCs w:val="21"/>
          <w:lang w:val="es-ES"/>
        </w:rPr>
        <w:t xml:space="preserve">Aprobar o improbar en Comisiones Conjuntas, los ascensos militares que confiera el Gobierno, desde oficiales generales y oficiales de insignia de la Fuerza Pública, hasta el más alto grado. </w:t>
      </w:r>
    </w:p>
    <w:p w:rsidR="002F10A0" w:rsidRPr="006E75DD" w:rsidRDefault="002F10A0" w:rsidP="002F10A0">
      <w:pPr>
        <w:spacing w:after="0" w:line="240" w:lineRule="auto"/>
        <w:ind w:left="720"/>
        <w:jc w:val="both"/>
        <w:rPr>
          <w:rFonts w:asciiTheme="majorHAnsi" w:hAnsiTheme="majorHAnsi" w:cstheme="majorHAnsi"/>
          <w:sz w:val="21"/>
          <w:szCs w:val="21"/>
          <w:lang w:val="es-ES"/>
        </w:rPr>
      </w:pPr>
    </w:p>
    <w:p w:rsidR="002F10A0" w:rsidRPr="006E75DD" w:rsidRDefault="002F10A0" w:rsidP="002F10A0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  <w:lang w:val="es-ES"/>
        </w:rPr>
      </w:pPr>
      <w:r w:rsidRPr="006E75DD">
        <w:rPr>
          <w:rFonts w:asciiTheme="majorHAnsi" w:hAnsiTheme="majorHAnsi" w:cstheme="majorHAnsi"/>
          <w:b/>
          <w:sz w:val="21"/>
          <w:szCs w:val="21"/>
          <w:lang w:val="es-ES"/>
        </w:rPr>
        <w:t>Artículo 3º</w:t>
      </w:r>
      <w:r w:rsidRPr="006E75DD">
        <w:rPr>
          <w:rFonts w:asciiTheme="majorHAnsi" w:hAnsiTheme="majorHAnsi" w:cstheme="majorHAnsi"/>
          <w:sz w:val="21"/>
          <w:szCs w:val="21"/>
          <w:lang w:val="es-ES"/>
        </w:rPr>
        <w:t xml:space="preserve">. Modifíquese el Numeral 19 del Artículo 189 de la Constitución Política de Colombia, que quedará así: </w:t>
      </w:r>
    </w:p>
    <w:p w:rsidR="006E75DD" w:rsidRPr="006E75DD" w:rsidRDefault="006E75DD" w:rsidP="002F10A0">
      <w:pPr>
        <w:spacing w:after="0" w:line="240" w:lineRule="auto"/>
        <w:ind w:left="720"/>
        <w:jc w:val="both"/>
        <w:rPr>
          <w:rFonts w:asciiTheme="majorHAnsi" w:hAnsiTheme="majorHAnsi" w:cstheme="majorHAnsi"/>
          <w:sz w:val="21"/>
          <w:szCs w:val="21"/>
          <w:lang w:val="es-ES"/>
        </w:rPr>
      </w:pPr>
    </w:p>
    <w:p w:rsidR="006E75DD" w:rsidRPr="006E75DD" w:rsidRDefault="002F10A0" w:rsidP="006E75DD">
      <w:pPr>
        <w:spacing w:after="0" w:line="240" w:lineRule="auto"/>
        <w:ind w:left="720"/>
        <w:jc w:val="both"/>
        <w:rPr>
          <w:rFonts w:asciiTheme="majorHAnsi" w:hAnsiTheme="majorHAnsi" w:cstheme="majorHAnsi"/>
          <w:sz w:val="21"/>
          <w:szCs w:val="21"/>
          <w:lang w:val="es-ES"/>
        </w:rPr>
      </w:pPr>
      <w:r w:rsidRPr="006E75DD">
        <w:rPr>
          <w:rFonts w:asciiTheme="majorHAnsi" w:hAnsiTheme="majorHAnsi" w:cstheme="majorHAnsi"/>
          <w:sz w:val="21"/>
          <w:szCs w:val="21"/>
          <w:lang w:val="es-ES"/>
        </w:rPr>
        <w:t>Artículo 189. Corresponde al Presidente de la Republica como Jefe de Estado, Jefe del Gobierno y Suprema Autoridad Administrativa:</w:t>
      </w:r>
    </w:p>
    <w:p w:rsidR="002F10A0" w:rsidRPr="006E75DD" w:rsidRDefault="002F10A0" w:rsidP="002F10A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  <w:sz w:val="21"/>
          <w:szCs w:val="21"/>
          <w:lang w:val="es-ES"/>
        </w:rPr>
      </w:pPr>
      <w:r w:rsidRPr="006E75DD">
        <w:rPr>
          <w:rFonts w:asciiTheme="majorHAnsi" w:hAnsiTheme="majorHAnsi" w:cstheme="majorHAnsi"/>
          <w:sz w:val="21"/>
          <w:szCs w:val="21"/>
          <w:lang w:val="es-ES"/>
        </w:rPr>
        <w:t xml:space="preserve">Conferir grados a los miembros de la Fuerza Pública y someter para aprobación de las Comisiones Conjuntas del Senado de la República y de la Cámara de Representantes los que correspondan de acuerdo con los artículos 173 y 178. </w:t>
      </w:r>
    </w:p>
    <w:p w:rsidR="002F10A0" w:rsidRPr="006E75DD" w:rsidRDefault="002F10A0" w:rsidP="002F10A0">
      <w:pPr>
        <w:spacing w:after="0" w:line="240" w:lineRule="auto"/>
        <w:ind w:left="720"/>
        <w:jc w:val="both"/>
        <w:rPr>
          <w:rFonts w:asciiTheme="majorHAnsi" w:hAnsiTheme="majorHAnsi" w:cstheme="majorHAnsi"/>
          <w:sz w:val="21"/>
          <w:szCs w:val="21"/>
          <w:lang w:val="es-ES"/>
        </w:rPr>
      </w:pPr>
    </w:p>
    <w:p w:rsidR="002F10A0" w:rsidRPr="006E75DD" w:rsidRDefault="002F10A0" w:rsidP="002F10A0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  <w:lang w:val="es-ES"/>
        </w:rPr>
      </w:pPr>
      <w:r w:rsidRPr="006E75DD">
        <w:rPr>
          <w:rFonts w:asciiTheme="majorHAnsi" w:hAnsiTheme="majorHAnsi" w:cstheme="majorHAnsi"/>
          <w:b/>
          <w:sz w:val="21"/>
          <w:szCs w:val="21"/>
          <w:lang w:val="es-ES"/>
        </w:rPr>
        <w:t>Artículo 4º</w:t>
      </w:r>
      <w:r w:rsidRPr="006E75DD">
        <w:rPr>
          <w:rFonts w:asciiTheme="majorHAnsi" w:hAnsiTheme="majorHAnsi" w:cstheme="majorHAnsi"/>
          <w:sz w:val="21"/>
          <w:szCs w:val="21"/>
          <w:lang w:val="es-ES"/>
        </w:rPr>
        <w:t xml:space="preserve">. El presente Acto Legislativo rige a partir de la fecha de su promulgación y deroga las disposiciones que le sean contrarias. </w:t>
      </w:r>
    </w:p>
    <w:p w:rsidR="002F10A0" w:rsidRPr="006E75DD" w:rsidRDefault="002F10A0" w:rsidP="002F10A0">
      <w:pPr>
        <w:pStyle w:val="BodyText"/>
        <w:ind w:left="142"/>
        <w:rPr>
          <w:rFonts w:asciiTheme="majorHAnsi" w:hAnsiTheme="majorHAnsi" w:cstheme="majorHAnsi"/>
          <w:sz w:val="22"/>
          <w:szCs w:val="22"/>
          <w:lang w:val="es-ES"/>
        </w:rPr>
      </w:pPr>
    </w:p>
    <w:p w:rsidR="002F10A0" w:rsidRPr="002F10A0" w:rsidRDefault="002F10A0" w:rsidP="006E75DD">
      <w:pPr>
        <w:pStyle w:val="BodyText"/>
        <w:rPr>
          <w:rFonts w:asciiTheme="majorHAnsi" w:hAnsiTheme="majorHAnsi" w:cstheme="majorHAnsi"/>
          <w:sz w:val="22"/>
          <w:szCs w:val="22"/>
          <w:lang w:val="es-CO"/>
        </w:rPr>
      </w:pPr>
    </w:p>
    <w:p w:rsidR="002F10A0" w:rsidRPr="002F10A0" w:rsidRDefault="002F10A0" w:rsidP="002F10A0">
      <w:pPr>
        <w:pStyle w:val="BodyText"/>
        <w:rPr>
          <w:rFonts w:asciiTheme="majorHAnsi" w:hAnsiTheme="majorHAnsi" w:cstheme="majorHAnsi"/>
          <w:sz w:val="22"/>
          <w:szCs w:val="22"/>
          <w:lang w:val="es-CO"/>
        </w:rPr>
      </w:pPr>
    </w:p>
    <w:p w:rsidR="006E75DD" w:rsidRDefault="006E75DD" w:rsidP="006E7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</w:rPr>
      </w:pPr>
    </w:p>
    <w:p w:rsidR="006E75DD" w:rsidRPr="002F10A0" w:rsidRDefault="006E75DD" w:rsidP="006E7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</w:rPr>
      </w:pPr>
      <w:r w:rsidRPr="002F10A0">
        <w:rPr>
          <w:rFonts w:asciiTheme="majorHAnsi" w:hAnsiTheme="majorHAnsi" w:cstheme="majorHAnsi"/>
          <w:b/>
          <w:color w:val="000000"/>
        </w:rPr>
        <w:t>José</w:t>
      </w:r>
      <w:r>
        <w:rPr>
          <w:rFonts w:asciiTheme="majorHAnsi" w:hAnsiTheme="majorHAnsi" w:cstheme="majorHAnsi"/>
          <w:b/>
          <w:color w:val="000000"/>
        </w:rPr>
        <w:t xml:space="preserve"> Jaime </w:t>
      </w:r>
      <w:proofErr w:type="spellStart"/>
      <w:r>
        <w:rPr>
          <w:rFonts w:asciiTheme="majorHAnsi" w:hAnsiTheme="majorHAnsi" w:cstheme="majorHAnsi"/>
          <w:b/>
          <w:color w:val="000000"/>
        </w:rPr>
        <w:t>Uscá</w:t>
      </w:r>
      <w:r w:rsidRPr="002F10A0">
        <w:rPr>
          <w:rFonts w:asciiTheme="majorHAnsi" w:hAnsiTheme="majorHAnsi" w:cstheme="majorHAnsi"/>
          <w:b/>
          <w:color w:val="000000"/>
        </w:rPr>
        <w:t>tegui</w:t>
      </w:r>
      <w:proofErr w:type="spellEnd"/>
    </w:p>
    <w:p w:rsidR="006E75DD" w:rsidRPr="006E75DD" w:rsidRDefault="006E75DD" w:rsidP="006E7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6E75DD">
        <w:rPr>
          <w:rFonts w:asciiTheme="majorHAnsi" w:hAnsiTheme="majorHAnsi" w:cstheme="majorHAnsi"/>
          <w:color w:val="000000"/>
        </w:rPr>
        <w:t>Representante a la Cámara</w:t>
      </w:r>
    </w:p>
    <w:p w:rsidR="00EC3B92" w:rsidRPr="002F10A0" w:rsidRDefault="006E75DD" w:rsidP="006E7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6E75DD">
        <w:rPr>
          <w:rFonts w:asciiTheme="majorHAnsi" w:hAnsiTheme="majorHAnsi" w:cstheme="majorHAnsi"/>
          <w:color w:val="000000"/>
        </w:rPr>
        <w:t>Coordinador Ponente</w:t>
      </w:r>
    </w:p>
    <w:sectPr w:rsidR="00EC3B92" w:rsidRPr="002F10A0" w:rsidSect="006E102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881" w:rsidRDefault="00433881">
      <w:pPr>
        <w:spacing w:after="0" w:line="240" w:lineRule="auto"/>
      </w:pPr>
      <w:r>
        <w:separator/>
      </w:r>
    </w:p>
  </w:endnote>
  <w:endnote w:type="continuationSeparator" w:id="0">
    <w:p w:rsidR="00433881" w:rsidRDefault="0043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FD4" w:rsidRDefault="00840F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  <w:p w:rsidR="00840FD4" w:rsidRDefault="00840F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José Jaime Uscátegui Pastrana - Honorable Representante a la Cámara por Bogotá D.C.,</w:t>
    </w:r>
  </w:p>
  <w:p w:rsidR="00840FD4" w:rsidRDefault="00840F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Cámara de Representantes - Capitolio Nacional – Tercer Piso – Bogotá D.C. Colombia</w:t>
    </w:r>
  </w:p>
  <w:p w:rsidR="00840FD4" w:rsidRDefault="00840F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Conmutador: 4325100, Extensión: 5310 – </w:t>
    </w:r>
    <w:hyperlink r:id="rId1">
      <w:r>
        <w:rPr>
          <w:rFonts w:ascii="Arial" w:eastAsia="Arial" w:hAnsi="Arial" w:cs="Arial"/>
          <w:color w:val="0000FF"/>
          <w:sz w:val="16"/>
          <w:szCs w:val="16"/>
          <w:u w:val="single"/>
        </w:rPr>
        <w:t>www.josejaimeuscategui.com</w:t>
      </w:r>
    </w:hyperlink>
    <w:r>
      <w:rPr>
        <w:rFonts w:ascii="Arial" w:eastAsia="Arial" w:hAnsi="Arial" w:cs="Arial"/>
        <w:color w:val="000000"/>
        <w:sz w:val="16"/>
        <w:szCs w:val="16"/>
      </w:rPr>
      <w:t xml:space="preserve"> - email: </w:t>
    </w:r>
    <w:hyperlink r:id="rId2">
      <w:r>
        <w:rPr>
          <w:rFonts w:ascii="Arial" w:eastAsia="Arial" w:hAnsi="Arial" w:cs="Arial"/>
          <w:color w:val="0000FF"/>
          <w:sz w:val="16"/>
          <w:szCs w:val="16"/>
          <w:u w:val="single"/>
        </w:rPr>
        <w:t>jose.uscategui@camara.gov.co</w:t>
      </w:r>
    </w:hyperlink>
  </w:p>
  <w:p w:rsidR="00840FD4" w:rsidRDefault="00840F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18"/>
        <w:szCs w:val="18"/>
      </w:rPr>
    </w:pPr>
  </w:p>
  <w:p w:rsidR="00840FD4" w:rsidRDefault="00DF40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color w:val="000000"/>
        <w:sz w:val="18"/>
        <w:szCs w:val="18"/>
      </w:rPr>
      <w:fldChar w:fldCharType="begin"/>
    </w:r>
    <w:r w:rsidR="00840FD4"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5D541E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881" w:rsidRDefault="00433881">
      <w:pPr>
        <w:spacing w:after="0" w:line="240" w:lineRule="auto"/>
      </w:pPr>
      <w:r>
        <w:separator/>
      </w:r>
    </w:p>
  </w:footnote>
  <w:footnote w:type="continuationSeparator" w:id="0">
    <w:p w:rsidR="00433881" w:rsidRDefault="00433881">
      <w:pPr>
        <w:spacing w:after="0" w:line="240" w:lineRule="auto"/>
      </w:pPr>
      <w:r>
        <w:continuationSeparator/>
      </w:r>
    </w:p>
  </w:footnote>
  <w:footnote w:id="1">
    <w:p w:rsidR="002F10A0" w:rsidRPr="00FA61ED" w:rsidRDefault="002F10A0" w:rsidP="002F10A0">
      <w:pPr>
        <w:pStyle w:val="FootnoteText"/>
        <w:rPr>
          <w:rFonts w:asciiTheme="minorHAnsi" w:eastAsiaTheme="minorHAnsi" w:hAnsiTheme="minorHAnsi" w:cstheme="minorBidi"/>
          <w:sz w:val="18"/>
          <w:lang w:val="es-CO" w:bidi="ar-SA"/>
        </w:rPr>
      </w:pPr>
      <w:r w:rsidRPr="00FA61ED">
        <w:rPr>
          <w:rStyle w:val="FootnoteReference"/>
          <w:sz w:val="18"/>
        </w:rPr>
        <w:footnoteRef/>
      </w:r>
      <w:r w:rsidRPr="00FA61ED">
        <w:rPr>
          <w:sz w:val="18"/>
          <w:lang w:val="es-CO"/>
        </w:rPr>
        <w:t xml:space="preserve"> </w:t>
      </w:r>
      <w:r w:rsidRPr="00FA61ED">
        <w:rPr>
          <w:rStyle w:val="FootnoteReference"/>
          <w:sz w:val="18"/>
        </w:rPr>
        <w:footnoteRef/>
      </w:r>
      <w:r w:rsidRPr="00FA61ED">
        <w:rPr>
          <w:sz w:val="18"/>
          <w:lang w:val="es-CO"/>
        </w:rPr>
        <w:t xml:space="preserve"> Corte Constitucional. M.P. Rodrigo Escobar Gil. Sentencia C – 975. 13 de noviembre de 2002. </w:t>
      </w:r>
    </w:p>
  </w:footnote>
  <w:footnote w:id="2">
    <w:p w:rsidR="002F10A0" w:rsidRPr="00FA61ED" w:rsidRDefault="002F10A0" w:rsidP="002F10A0">
      <w:pPr>
        <w:pStyle w:val="FootnoteText"/>
        <w:rPr>
          <w:rFonts w:asciiTheme="minorHAnsi" w:eastAsiaTheme="minorHAnsi" w:hAnsiTheme="minorHAnsi" w:cstheme="minorBidi"/>
          <w:sz w:val="18"/>
          <w:lang w:val="es-CO" w:bidi="ar-SA"/>
        </w:rPr>
      </w:pPr>
      <w:r w:rsidRPr="00FA61ED">
        <w:rPr>
          <w:rStyle w:val="FootnoteReference"/>
          <w:sz w:val="18"/>
        </w:rPr>
        <w:footnoteRef/>
      </w:r>
      <w:r w:rsidRPr="00FA61ED">
        <w:rPr>
          <w:sz w:val="18"/>
          <w:lang w:val="es-CO"/>
        </w:rPr>
        <w:t xml:space="preserve"> </w:t>
      </w:r>
      <w:r w:rsidRPr="00FA61ED">
        <w:rPr>
          <w:rStyle w:val="FootnoteReference"/>
          <w:sz w:val="18"/>
        </w:rPr>
        <w:footnoteRef/>
      </w:r>
      <w:r w:rsidRPr="00FA61ED">
        <w:rPr>
          <w:sz w:val="18"/>
          <w:lang w:val="es-CO"/>
        </w:rPr>
        <w:t xml:space="preserve"> Corte Constitucional. M. P. Jaime Córdoba Triviño. Sentencia C – 540. 22 de mayo de 2001.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0A0" w:rsidRPr="002F10A0" w:rsidRDefault="00840FD4" w:rsidP="002F10A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10"/>
        <w:szCs w:val="10"/>
      </w:rPr>
    </w:pPr>
    <w:r>
      <w:rPr>
        <w:b/>
        <w:color w:val="000000"/>
        <w:sz w:val="10"/>
        <w:szCs w:val="10"/>
      </w:rPr>
      <w:t>Ref</w:t>
    </w:r>
    <w:r>
      <w:rPr>
        <w:color w:val="000000"/>
        <w:sz w:val="10"/>
        <w:szCs w:val="10"/>
      </w:rPr>
      <w:t xml:space="preserve">.: </w:t>
    </w:r>
    <w:r w:rsidR="002F10A0">
      <w:rPr>
        <w:b/>
        <w:color w:val="000000"/>
        <w:sz w:val="10"/>
        <w:szCs w:val="10"/>
      </w:rPr>
      <w:t>I</w:t>
    </w:r>
    <w:r w:rsidR="002F10A0" w:rsidRPr="002F10A0">
      <w:rPr>
        <w:b/>
        <w:color w:val="000000"/>
        <w:sz w:val="10"/>
        <w:szCs w:val="10"/>
      </w:rPr>
      <w:t>nforme de ponencia para primer debate cámara a</w:t>
    </w:r>
    <w:r w:rsidR="006E75DD">
      <w:rPr>
        <w:b/>
        <w:color w:val="000000"/>
        <w:sz w:val="10"/>
        <w:szCs w:val="10"/>
      </w:rPr>
      <w:t>l proyecto de acto legislativo N</w:t>
    </w:r>
    <w:r w:rsidR="002F10A0" w:rsidRPr="002F10A0">
      <w:rPr>
        <w:b/>
        <w:color w:val="000000"/>
        <w:sz w:val="10"/>
        <w:szCs w:val="10"/>
      </w:rPr>
      <w:t xml:space="preserve">o. 377 de  2019 cámara </w:t>
    </w:r>
    <w:r w:rsidR="002F10A0">
      <w:rPr>
        <w:b/>
        <w:color w:val="000000"/>
        <w:sz w:val="10"/>
        <w:szCs w:val="10"/>
      </w:rPr>
      <w:t xml:space="preserve">- </w:t>
    </w:r>
    <w:r w:rsidR="002F10A0" w:rsidRPr="002F10A0">
      <w:rPr>
        <w:b/>
        <w:color w:val="000000"/>
        <w:sz w:val="10"/>
        <w:szCs w:val="10"/>
      </w:rPr>
      <w:t>“Por el cual se modifican y adicionan los artículos 173, 178 y 189 de la Constitución Política de Colombia”.</w:t>
    </w:r>
  </w:p>
  <w:p w:rsidR="00840FD4" w:rsidRDefault="00840FD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color w:val="000000"/>
      </w:rPr>
    </w:pPr>
  </w:p>
  <w:p w:rsidR="00840FD4" w:rsidRDefault="00840F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:rsidR="00840FD4" w:rsidRDefault="00840F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391474" cy="764123"/>
          <wp:effectExtent l="0" t="0" r="0" b="0"/>
          <wp:docPr id="1" name="image1.png" descr="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1474" cy="7641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40FD4" w:rsidRDefault="00840FD4" w:rsidP="008D5B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504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7EC"/>
    <w:multiLevelType w:val="multilevel"/>
    <w:tmpl w:val="F37A255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675984"/>
    <w:multiLevelType w:val="hybridMultilevel"/>
    <w:tmpl w:val="F2428468"/>
    <w:lvl w:ilvl="0" w:tplc="8E945E7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6D2AB0"/>
    <w:multiLevelType w:val="multilevel"/>
    <w:tmpl w:val="D850F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22DEB"/>
    <w:multiLevelType w:val="hybridMultilevel"/>
    <w:tmpl w:val="B7CEDCC6"/>
    <w:lvl w:ilvl="0" w:tplc="3A02A988">
      <w:start w:val="1"/>
      <w:numFmt w:val="lowerRoman"/>
      <w:lvlText w:val="%1."/>
      <w:lvlJc w:val="left"/>
      <w:pPr>
        <w:ind w:left="1182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42" w:hanging="360"/>
      </w:pPr>
    </w:lvl>
    <w:lvl w:ilvl="2" w:tplc="0809001B" w:tentative="1">
      <w:start w:val="1"/>
      <w:numFmt w:val="lowerRoman"/>
      <w:lvlText w:val="%3."/>
      <w:lvlJc w:val="right"/>
      <w:pPr>
        <w:ind w:left="2262" w:hanging="180"/>
      </w:pPr>
    </w:lvl>
    <w:lvl w:ilvl="3" w:tplc="0809000F" w:tentative="1">
      <w:start w:val="1"/>
      <w:numFmt w:val="decimal"/>
      <w:lvlText w:val="%4."/>
      <w:lvlJc w:val="left"/>
      <w:pPr>
        <w:ind w:left="2982" w:hanging="360"/>
      </w:pPr>
    </w:lvl>
    <w:lvl w:ilvl="4" w:tplc="08090019" w:tentative="1">
      <w:start w:val="1"/>
      <w:numFmt w:val="lowerLetter"/>
      <w:lvlText w:val="%5."/>
      <w:lvlJc w:val="left"/>
      <w:pPr>
        <w:ind w:left="3702" w:hanging="360"/>
      </w:pPr>
    </w:lvl>
    <w:lvl w:ilvl="5" w:tplc="0809001B" w:tentative="1">
      <w:start w:val="1"/>
      <w:numFmt w:val="lowerRoman"/>
      <w:lvlText w:val="%6."/>
      <w:lvlJc w:val="right"/>
      <w:pPr>
        <w:ind w:left="4422" w:hanging="180"/>
      </w:pPr>
    </w:lvl>
    <w:lvl w:ilvl="6" w:tplc="0809000F" w:tentative="1">
      <w:start w:val="1"/>
      <w:numFmt w:val="decimal"/>
      <w:lvlText w:val="%7."/>
      <w:lvlJc w:val="left"/>
      <w:pPr>
        <w:ind w:left="5142" w:hanging="360"/>
      </w:pPr>
    </w:lvl>
    <w:lvl w:ilvl="7" w:tplc="08090019" w:tentative="1">
      <w:start w:val="1"/>
      <w:numFmt w:val="lowerLetter"/>
      <w:lvlText w:val="%8."/>
      <w:lvlJc w:val="left"/>
      <w:pPr>
        <w:ind w:left="5862" w:hanging="360"/>
      </w:pPr>
    </w:lvl>
    <w:lvl w:ilvl="8" w:tplc="0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>
    <w:nsid w:val="0F5D23CA"/>
    <w:multiLevelType w:val="multilevel"/>
    <w:tmpl w:val="7ADE2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4ECC"/>
    <w:multiLevelType w:val="hybridMultilevel"/>
    <w:tmpl w:val="FF1EBE86"/>
    <w:lvl w:ilvl="0" w:tplc="1FA697E6">
      <w:start w:val="19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992EE3"/>
    <w:multiLevelType w:val="hybridMultilevel"/>
    <w:tmpl w:val="448037BC"/>
    <w:lvl w:ilvl="0" w:tplc="9524047C">
      <w:start w:val="5"/>
      <w:numFmt w:val="bullet"/>
      <w:lvlText w:val="-"/>
      <w:lvlJc w:val="left"/>
      <w:pPr>
        <w:ind w:left="1542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7">
    <w:nsid w:val="1A5263B2"/>
    <w:multiLevelType w:val="multilevel"/>
    <w:tmpl w:val="EC9A6E7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>
    <w:nsid w:val="1E3B6923"/>
    <w:multiLevelType w:val="hybridMultilevel"/>
    <w:tmpl w:val="74A2F01C"/>
    <w:lvl w:ilvl="0" w:tplc="04325A2C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Calibri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77027BA"/>
    <w:multiLevelType w:val="hybridMultilevel"/>
    <w:tmpl w:val="A50652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057AE"/>
    <w:multiLevelType w:val="hybridMultilevel"/>
    <w:tmpl w:val="C9509666"/>
    <w:lvl w:ilvl="0" w:tplc="6DAA95AE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>
    <w:nsid w:val="2E7627EE"/>
    <w:multiLevelType w:val="multilevel"/>
    <w:tmpl w:val="26DE72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571F6"/>
    <w:multiLevelType w:val="hybridMultilevel"/>
    <w:tmpl w:val="3744B21C"/>
    <w:lvl w:ilvl="0" w:tplc="499A0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B185E"/>
    <w:multiLevelType w:val="hybridMultilevel"/>
    <w:tmpl w:val="E6C47E94"/>
    <w:lvl w:ilvl="0" w:tplc="515CA008">
      <w:start w:val="1"/>
      <w:numFmt w:val="upperRoman"/>
      <w:lvlText w:val="%1."/>
      <w:lvlJc w:val="left"/>
      <w:pPr>
        <w:ind w:left="2663" w:hanging="20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n-GB" w:eastAsia="en-GB" w:bidi="en-GB"/>
      </w:rPr>
    </w:lvl>
    <w:lvl w:ilvl="1" w:tplc="C6346B94">
      <w:numFmt w:val="bullet"/>
      <w:lvlText w:val="•"/>
      <w:lvlJc w:val="left"/>
      <w:pPr>
        <w:ind w:left="3300" w:hanging="204"/>
      </w:pPr>
      <w:rPr>
        <w:rFonts w:hint="default"/>
        <w:lang w:val="en-GB" w:eastAsia="en-GB" w:bidi="en-GB"/>
      </w:rPr>
    </w:lvl>
    <w:lvl w:ilvl="2" w:tplc="96664314">
      <w:numFmt w:val="bullet"/>
      <w:lvlText w:val="•"/>
      <w:lvlJc w:val="left"/>
      <w:pPr>
        <w:ind w:left="3940" w:hanging="204"/>
      </w:pPr>
      <w:rPr>
        <w:rFonts w:hint="default"/>
        <w:lang w:val="en-GB" w:eastAsia="en-GB" w:bidi="en-GB"/>
      </w:rPr>
    </w:lvl>
    <w:lvl w:ilvl="3" w:tplc="AEBAC318">
      <w:numFmt w:val="bullet"/>
      <w:lvlText w:val="•"/>
      <w:lvlJc w:val="left"/>
      <w:pPr>
        <w:ind w:left="4580" w:hanging="204"/>
      </w:pPr>
      <w:rPr>
        <w:rFonts w:hint="default"/>
        <w:lang w:val="en-GB" w:eastAsia="en-GB" w:bidi="en-GB"/>
      </w:rPr>
    </w:lvl>
    <w:lvl w:ilvl="4" w:tplc="18D046AA">
      <w:numFmt w:val="bullet"/>
      <w:lvlText w:val="•"/>
      <w:lvlJc w:val="left"/>
      <w:pPr>
        <w:ind w:left="5220" w:hanging="204"/>
      </w:pPr>
      <w:rPr>
        <w:rFonts w:hint="default"/>
        <w:lang w:val="en-GB" w:eastAsia="en-GB" w:bidi="en-GB"/>
      </w:rPr>
    </w:lvl>
    <w:lvl w:ilvl="5" w:tplc="64DA8E1C">
      <w:numFmt w:val="bullet"/>
      <w:lvlText w:val="•"/>
      <w:lvlJc w:val="left"/>
      <w:pPr>
        <w:ind w:left="5860" w:hanging="204"/>
      </w:pPr>
      <w:rPr>
        <w:rFonts w:hint="default"/>
        <w:lang w:val="en-GB" w:eastAsia="en-GB" w:bidi="en-GB"/>
      </w:rPr>
    </w:lvl>
    <w:lvl w:ilvl="6" w:tplc="71006CB2">
      <w:numFmt w:val="bullet"/>
      <w:lvlText w:val="•"/>
      <w:lvlJc w:val="left"/>
      <w:pPr>
        <w:ind w:left="6500" w:hanging="204"/>
      </w:pPr>
      <w:rPr>
        <w:rFonts w:hint="default"/>
        <w:lang w:val="en-GB" w:eastAsia="en-GB" w:bidi="en-GB"/>
      </w:rPr>
    </w:lvl>
    <w:lvl w:ilvl="7" w:tplc="79BEDD0E">
      <w:numFmt w:val="bullet"/>
      <w:lvlText w:val="•"/>
      <w:lvlJc w:val="left"/>
      <w:pPr>
        <w:ind w:left="7140" w:hanging="204"/>
      </w:pPr>
      <w:rPr>
        <w:rFonts w:hint="default"/>
        <w:lang w:val="en-GB" w:eastAsia="en-GB" w:bidi="en-GB"/>
      </w:rPr>
    </w:lvl>
    <w:lvl w:ilvl="8" w:tplc="1436C146">
      <w:numFmt w:val="bullet"/>
      <w:lvlText w:val="•"/>
      <w:lvlJc w:val="left"/>
      <w:pPr>
        <w:ind w:left="7780" w:hanging="204"/>
      </w:pPr>
      <w:rPr>
        <w:rFonts w:hint="default"/>
        <w:lang w:val="en-GB" w:eastAsia="en-GB" w:bidi="en-GB"/>
      </w:rPr>
    </w:lvl>
  </w:abstractNum>
  <w:abstractNum w:abstractNumId="14">
    <w:nsid w:val="4E4E4094"/>
    <w:multiLevelType w:val="hybridMultilevel"/>
    <w:tmpl w:val="B0B22F20"/>
    <w:lvl w:ilvl="0" w:tplc="0809000F">
      <w:start w:val="6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12910"/>
    <w:multiLevelType w:val="hybridMultilevel"/>
    <w:tmpl w:val="28E0A820"/>
    <w:lvl w:ilvl="0" w:tplc="04325A2C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Calibr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5590A"/>
    <w:multiLevelType w:val="hybridMultilevel"/>
    <w:tmpl w:val="6C1CCC10"/>
    <w:lvl w:ilvl="0" w:tplc="09323E9C">
      <w:start w:val="2"/>
      <w:numFmt w:val="decimal"/>
      <w:lvlText w:val="%1."/>
      <w:lvlJc w:val="left"/>
      <w:pPr>
        <w:ind w:left="-1080" w:hanging="360"/>
      </w:pPr>
    </w:lvl>
    <w:lvl w:ilvl="1" w:tplc="08090019">
      <w:start w:val="1"/>
      <w:numFmt w:val="lowerLetter"/>
      <w:lvlText w:val="%2."/>
      <w:lvlJc w:val="left"/>
      <w:pPr>
        <w:ind w:left="-360" w:hanging="360"/>
      </w:pPr>
    </w:lvl>
    <w:lvl w:ilvl="2" w:tplc="0809001B">
      <w:start w:val="1"/>
      <w:numFmt w:val="lowerRoman"/>
      <w:lvlText w:val="%3."/>
      <w:lvlJc w:val="right"/>
      <w:pPr>
        <w:ind w:left="360" w:hanging="180"/>
      </w:pPr>
    </w:lvl>
    <w:lvl w:ilvl="3" w:tplc="0809000F">
      <w:start w:val="1"/>
      <w:numFmt w:val="decimal"/>
      <w:lvlText w:val="%4."/>
      <w:lvlJc w:val="left"/>
      <w:pPr>
        <w:ind w:left="1080" w:hanging="360"/>
      </w:pPr>
    </w:lvl>
    <w:lvl w:ilvl="4" w:tplc="08090019">
      <w:start w:val="1"/>
      <w:numFmt w:val="lowerLetter"/>
      <w:lvlText w:val="%5."/>
      <w:lvlJc w:val="left"/>
      <w:pPr>
        <w:ind w:left="1800" w:hanging="360"/>
      </w:pPr>
    </w:lvl>
    <w:lvl w:ilvl="5" w:tplc="0809001B">
      <w:start w:val="1"/>
      <w:numFmt w:val="lowerRoman"/>
      <w:lvlText w:val="%6."/>
      <w:lvlJc w:val="right"/>
      <w:pPr>
        <w:ind w:left="2520" w:hanging="180"/>
      </w:pPr>
    </w:lvl>
    <w:lvl w:ilvl="6" w:tplc="0809000F">
      <w:start w:val="1"/>
      <w:numFmt w:val="decimal"/>
      <w:lvlText w:val="%7."/>
      <w:lvlJc w:val="left"/>
      <w:pPr>
        <w:ind w:left="3240" w:hanging="360"/>
      </w:pPr>
    </w:lvl>
    <w:lvl w:ilvl="7" w:tplc="08090019">
      <w:start w:val="1"/>
      <w:numFmt w:val="lowerLetter"/>
      <w:lvlText w:val="%8."/>
      <w:lvlJc w:val="left"/>
      <w:pPr>
        <w:ind w:left="3960" w:hanging="360"/>
      </w:pPr>
    </w:lvl>
    <w:lvl w:ilvl="8" w:tplc="0809001B">
      <w:start w:val="1"/>
      <w:numFmt w:val="lowerRoman"/>
      <w:lvlText w:val="%9."/>
      <w:lvlJc w:val="right"/>
      <w:pPr>
        <w:ind w:left="4680" w:hanging="180"/>
      </w:pPr>
    </w:lvl>
  </w:abstractNum>
  <w:abstractNum w:abstractNumId="17">
    <w:nsid w:val="5FE77539"/>
    <w:multiLevelType w:val="hybridMultilevel"/>
    <w:tmpl w:val="A37656BC"/>
    <w:lvl w:ilvl="0" w:tplc="57F85740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F5BA4"/>
    <w:multiLevelType w:val="hybridMultilevel"/>
    <w:tmpl w:val="D54AF194"/>
    <w:lvl w:ilvl="0" w:tplc="498E3CE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CC3B22"/>
    <w:multiLevelType w:val="multilevel"/>
    <w:tmpl w:val="8FB204BC"/>
    <w:lvl w:ilvl="0">
      <w:start w:val="1"/>
      <w:numFmt w:val="bullet"/>
      <w:lvlText w:val="●"/>
      <w:lvlJc w:val="left"/>
      <w:pPr>
        <w:ind w:left="9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7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9"/>
  </w:num>
  <w:num w:numId="5">
    <w:abstractNumId w:val="0"/>
  </w:num>
  <w:num w:numId="6">
    <w:abstractNumId w:val="4"/>
  </w:num>
  <w:num w:numId="7">
    <w:abstractNumId w:val="12"/>
  </w:num>
  <w:num w:numId="8">
    <w:abstractNumId w:val="8"/>
  </w:num>
  <w:num w:numId="9">
    <w:abstractNumId w:val="15"/>
  </w:num>
  <w:num w:numId="10">
    <w:abstractNumId w:val="9"/>
  </w:num>
  <w:num w:numId="11">
    <w:abstractNumId w:val="13"/>
  </w:num>
  <w:num w:numId="12">
    <w:abstractNumId w:val="10"/>
  </w:num>
  <w:num w:numId="13">
    <w:abstractNumId w:val="3"/>
  </w:num>
  <w:num w:numId="14">
    <w:abstractNumId w:val="6"/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91B"/>
    <w:rsid w:val="0001726D"/>
    <w:rsid w:val="00024156"/>
    <w:rsid w:val="000500A9"/>
    <w:rsid w:val="00057096"/>
    <w:rsid w:val="00061B79"/>
    <w:rsid w:val="000A3C29"/>
    <w:rsid w:val="000C1322"/>
    <w:rsid w:val="000E311C"/>
    <w:rsid w:val="000E3DB3"/>
    <w:rsid w:val="00106F17"/>
    <w:rsid w:val="00123374"/>
    <w:rsid w:val="00165913"/>
    <w:rsid w:val="0019367E"/>
    <w:rsid w:val="001D7092"/>
    <w:rsid w:val="001D7B58"/>
    <w:rsid w:val="001E0E8E"/>
    <w:rsid w:val="001F1BA1"/>
    <w:rsid w:val="00203221"/>
    <w:rsid w:val="00255545"/>
    <w:rsid w:val="0026427E"/>
    <w:rsid w:val="00274936"/>
    <w:rsid w:val="002A7A5B"/>
    <w:rsid w:val="002B5A84"/>
    <w:rsid w:val="002D1E31"/>
    <w:rsid w:val="002F10A0"/>
    <w:rsid w:val="002F571A"/>
    <w:rsid w:val="002F7440"/>
    <w:rsid w:val="0033088E"/>
    <w:rsid w:val="00362368"/>
    <w:rsid w:val="003970BA"/>
    <w:rsid w:val="003B04CA"/>
    <w:rsid w:val="003B49A4"/>
    <w:rsid w:val="003D2B5D"/>
    <w:rsid w:val="003E1859"/>
    <w:rsid w:val="003F1AC1"/>
    <w:rsid w:val="00433881"/>
    <w:rsid w:val="004538CE"/>
    <w:rsid w:val="00496AD2"/>
    <w:rsid w:val="004C3CE9"/>
    <w:rsid w:val="004D1703"/>
    <w:rsid w:val="004D259E"/>
    <w:rsid w:val="004D5028"/>
    <w:rsid w:val="004D74C6"/>
    <w:rsid w:val="0052161A"/>
    <w:rsid w:val="00531A21"/>
    <w:rsid w:val="00544E1E"/>
    <w:rsid w:val="00555E1F"/>
    <w:rsid w:val="0056098F"/>
    <w:rsid w:val="00561772"/>
    <w:rsid w:val="005734EB"/>
    <w:rsid w:val="005B78AC"/>
    <w:rsid w:val="005D1E4E"/>
    <w:rsid w:val="005D541E"/>
    <w:rsid w:val="005E4082"/>
    <w:rsid w:val="00605F44"/>
    <w:rsid w:val="00611689"/>
    <w:rsid w:val="00625743"/>
    <w:rsid w:val="006A5D19"/>
    <w:rsid w:val="006E1022"/>
    <w:rsid w:val="006E303A"/>
    <w:rsid w:val="006E75DD"/>
    <w:rsid w:val="00711A36"/>
    <w:rsid w:val="00725C52"/>
    <w:rsid w:val="0072671E"/>
    <w:rsid w:val="00741C42"/>
    <w:rsid w:val="00771B48"/>
    <w:rsid w:val="007802B5"/>
    <w:rsid w:val="007945DC"/>
    <w:rsid w:val="007A7E62"/>
    <w:rsid w:val="007B1C25"/>
    <w:rsid w:val="0080491B"/>
    <w:rsid w:val="00840FD4"/>
    <w:rsid w:val="0086015C"/>
    <w:rsid w:val="008902DF"/>
    <w:rsid w:val="008D5B94"/>
    <w:rsid w:val="009311E4"/>
    <w:rsid w:val="0094253F"/>
    <w:rsid w:val="00942AA1"/>
    <w:rsid w:val="00942B56"/>
    <w:rsid w:val="0096727B"/>
    <w:rsid w:val="00982E33"/>
    <w:rsid w:val="009857D6"/>
    <w:rsid w:val="009C0C9B"/>
    <w:rsid w:val="009C17F1"/>
    <w:rsid w:val="00A45C12"/>
    <w:rsid w:val="00A63E93"/>
    <w:rsid w:val="00A64406"/>
    <w:rsid w:val="00AA33B2"/>
    <w:rsid w:val="00AF15BC"/>
    <w:rsid w:val="00B071F1"/>
    <w:rsid w:val="00B351B9"/>
    <w:rsid w:val="00B65242"/>
    <w:rsid w:val="00B75F94"/>
    <w:rsid w:val="00BA3ABC"/>
    <w:rsid w:val="00BC1F08"/>
    <w:rsid w:val="00BD6AD4"/>
    <w:rsid w:val="00C1238B"/>
    <w:rsid w:val="00C321CE"/>
    <w:rsid w:val="00C42B39"/>
    <w:rsid w:val="00C46A1D"/>
    <w:rsid w:val="00C544D1"/>
    <w:rsid w:val="00C955BE"/>
    <w:rsid w:val="00C95F4A"/>
    <w:rsid w:val="00CE2CC4"/>
    <w:rsid w:val="00CE74D1"/>
    <w:rsid w:val="00CF270A"/>
    <w:rsid w:val="00D01F99"/>
    <w:rsid w:val="00D10D85"/>
    <w:rsid w:val="00D14F3A"/>
    <w:rsid w:val="00D27A49"/>
    <w:rsid w:val="00DE1A99"/>
    <w:rsid w:val="00DF4015"/>
    <w:rsid w:val="00E05968"/>
    <w:rsid w:val="00E167FC"/>
    <w:rsid w:val="00E23E20"/>
    <w:rsid w:val="00E30C6A"/>
    <w:rsid w:val="00E802E2"/>
    <w:rsid w:val="00EC32DC"/>
    <w:rsid w:val="00EC3B92"/>
    <w:rsid w:val="00F5483D"/>
    <w:rsid w:val="00F77B80"/>
    <w:rsid w:val="00F85166"/>
    <w:rsid w:val="00FA61ED"/>
    <w:rsid w:val="00FC4237"/>
    <w:rsid w:val="00FE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1022"/>
  </w:style>
  <w:style w:type="paragraph" w:styleId="Heading1">
    <w:name w:val="heading 1"/>
    <w:basedOn w:val="Normal"/>
    <w:next w:val="Normal"/>
    <w:rsid w:val="006E1022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outlineLvl w:val="0"/>
    </w:pPr>
    <w:rPr>
      <w:rFonts w:ascii="Arial" w:eastAsia="Arial" w:hAnsi="Arial" w:cs="Arial"/>
      <w:b/>
      <w:color w:val="000000"/>
      <w:sz w:val="24"/>
      <w:szCs w:val="24"/>
    </w:rPr>
  </w:style>
  <w:style w:type="paragraph" w:styleId="Heading2">
    <w:name w:val="heading 2"/>
    <w:basedOn w:val="Normal"/>
    <w:next w:val="Normal"/>
    <w:rsid w:val="006E102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6E102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6E102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rsid w:val="006E1022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rsid w:val="006E1022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6E10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6E102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6E102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6E1022"/>
    <w:pPr>
      <w:spacing w:after="0" w:line="240" w:lineRule="auto"/>
      <w:jc w:val="both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6E10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6E10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5B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B94"/>
  </w:style>
  <w:style w:type="paragraph" w:styleId="Footer">
    <w:name w:val="footer"/>
    <w:basedOn w:val="Normal"/>
    <w:link w:val="FooterChar"/>
    <w:uiPriority w:val="99"/>
    <w:unhideWhenUsed/>
    <w:rsid w:val="008D5B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B94"/>
  </w:style>
  <w:style w:type="paragraph" w:styleId="ListParagraph">
    <w:name w:val="List Paragraph"/>
    <w:basedOn w:val="Normal"/>
    <w:uiPriority w:val="34"/>
    <w:qFormat/>
    <w:rsid w:val="00AF15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F10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2F10A0"/>
    <w:rPr>
      <w:rFonts w:ascii="Arial" w:eastAsia="Arial" w:hAnsi="Arial" w:cs="Arial"/>
      <w:sz w:val="24"/>
      <w:szCs w:val="24"/>
      <w:lang w:val="en-GB" w:eastAsia="en-GB" w:bidi="en-GB"/>
    </w:rPr>
  </w:style>
  <w:style w:type="paragraph" w:styleId="FootnoteText">
    <w:name w:val="footnote text"/>
    <w:basedOn w:val="Normal"/>
    <w:link w:val="FootnoteTextChar"/>
    <w:uiPriority w:val="99"/>
    <w:unhideWhenUsed/>
    <w:rsid w:val="002F10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GB" w:eastAsia="en-GB" w:bidi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F10A0"/>
    <w:rPr>
      <w:rFonts w:ascii="Arial" w:eastAsia="Arial" w:hAnsi="Arial" w:cs="Arial"/>
      <w:sz w:val="20"/>
      <w:szCs w:val="20"/>
      <w:lang w:val="en-GB"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F10A0"/>
    <w:rPr>
      <w:vertAlign w:val="superscript"/>
    </w:rPr>
  </w:style>
  <w:style w:type="table" w:styleId="TableGrid">
    <w:name w:val="Table Grid"/>
    <w:basedOn w:val="TableNormal"/>
    <w:uiPriority w:val="39"/>
    <w:rsid w:val="00FA6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se.uscategui@camara.gov.co" TargetMode="External"/><Relationship Id="rId1" Type="http://schemas.openxmlformats.org/officeDocument/2006/relationships/hyperlink" Target="http://www.josejaimeuscategu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38AB4B1-FBA1-4526-BFE2-2F58420A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1345</Words>
  <Characters>7398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Andres Fx</cp:lastModifiedBy>
  <cp:revision>105</cp:revision>
  <dcterms:created xsi:type="dcterms:W3CDTF">2019-04-09T14:23:00Z</dcterms:created>
  <dcterms:modified xsi:type="dcterms:W3CDTF">2019-04-24T17:03:00Z</dcterms:modified>
</cp:coreProperties>
</file>